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1404E7" w14:textId="77777777" w:rsidR="00E42FD2" w:rsidRPr="003F3B0B" w:rsidRDefault="007C2028" w:rsidP="007C2028">
      <w:pPr>
        <w:jc w:val="center"/>
        <w:rPr>
          <w:rFonts w:cs="Times New Roman"/>
          <w:b/>
          <w:sz w:val="28"/>
          <w:szCs w:val="28"/>
        </w:rPr>
      </w:pPr>
      <w:r w:rsidRPr="003F3B0B">
        <w:rPr>
          <w:rFonts w:cs="Times New Roman"/>
          <w:b/>
          <w:sz w:val="28"/>
          <w:szCs w:val="28"/>
        </w:rPr>
        <w:t>A global-local fretting analysis methodology and design study for the pressure armour layer of dynamic flexible marine risers</w:t>
      </w:r>
    </w:p>
    <w:p w14:paraId="100CFC78" w14:textId="77777777" w:rsidR="007C2028" w:rsidRPr="003F3B0B" w:rsidRDefault="007C2028" w:rsidP="007C2028">
      <w:pPr>
        <w:jc w:val="center"/>
      </w:pPr>
      <w:r w:rsidRPr="003F3B0B">
        <w:t xml:space="preserve">S.M. </w:t>
      </w:r>
      <w:proofErr w:type="spellStart"/>
      <w:r w:rsidRPr="003F3B0B">
        <w:t>O’Halloran</w:t>
      </w:r>
      <w:r w:rsidRPr="003F3B0B">
        <w:rPr>
          <w:vertAlign w:val="superscript"/>
        </w:rPr>
        <w:t>a</w:t>
      </w:r>
      <w:proofErr w:type="spellEnd"/>
      <w:r w:rsidRPr="003F3B0B">
        <w:t xml:space="preserve">, A.D. </w:t>
      </w:r>
      <w:proofErr w:type="spellStart"/>
      <w:r w:rsidRPr="003F3B0B">
        <w:t>Connaire</w:t>
      </w:r>
      <w:r w:rsidRPr="003F3B0B">
        <w:rPr>
          <w:vertAlign w:val="superscript"/>
        </w:rPr>
        <w:t>b</w:t>
      </w:r>
      <w:proofErr w:type="spellEnd"/>
      <w:r w:rsidRPr="003F3B0B">
        <w:t>, A.M. Harte</w:t>
      </w:r>
      <w:r w:rsidRPr="003F3B0B">
        <w:rPr>
          <w:vertAlign w:val="superscript"/>
        </w:rPr>
        <w:t>c1</w:t>
      </w:r>
      <w:r w:rsidRPr="003F3B0B">
        <w:t>, S.B. Leen</w:t>
      </w:r>
      <w:r w:rsidRPr="003F3B0B">
        <w:rPr>
          <w:vertAlign w:val="superscript"/>
        </w:rPr>
        <w:t>d1*</w:t>
      </w:r>
    </w:p>
    <w:p w14:paraId="5D3E4675" w14:textId="77777777" w:rsidR="007C2028" w:rsidRPr="003F3B0B" w:rsidRDefault="007C2028" w:rsidP="007C2028">
      <w:pPr>
        <w:spacing w:after="0"/>
        <w:jc w:val="center"/>
      </w:pPr>
      <w:proofErr w:type="gramStart"/>
      <w:r w:rsidRPr="003F3B0B">
        <w:rPr>
          <w:vertAlign w:val="superscript"/>
        </w:rPr>
        <w:t>a</w:t>
      </w:r>
      <w:proofErr w:type="gramEnd"/>
      <w:r w:rsidRPr="003F3B0B">
        <w:rPr>
          <w:vertAlign w:val="superscript"/>
        </w:rPr>
        <w:t xml:space="preserve"> </w:t>
      </w:r>
      <w:r w:rsidRPr="003F3B0B">
        <w:t>SEAM Research Centre, Waterford Institute of Technology, Waterford, Ireland</w:t>
      </w:r>
    </w:p>
    <w:p w14:paraId="3921DF8E" w14:textId="27090E73" w:rsidR="007C2028" w:rsidRPr="003F3B0B" w:rsidRDefault="007C2028" w:rsidP="007C2028">
      <w:pPr>
        <w:spacing w:after="0"/>
        <w:jc w:val="center"/>
      </w:pPr>
      <w:proofErr w:type="gramStart"/>
      <w:r w:rsidRPr="003F3B0B">
        <w:rPr>
          <w:vertAlign w:val="superscript"/>
        </w:rPr>
        <w:t>b</w:t>
      </w:r>
      <w:proofErr w:type="gramEnd"/>
      <w:r w:rsidRPr="003F3B0B">
        <w:rPr>
          <w:vertAlign w:val="superscript"/>
        </w:rPr>
        <w:t xml:space="preserve"> </w:t>
      </w:r>
      <w:r w:rsidRPr="003F3B0B">
        <w:t>Wood</w:t>
      </w:r>
      <w:r w:rsidR="00D140D5" w:rsidRPr="003F3B0B">
        <w:t xml:space="preserve"> plc.</w:t>
      </w:r>
      <w:r w:rsidRPr="003F3B0B">
        <w:t>, Galway Technology Park, Parkmore, Galway, Ireland</w:t>
      </w:r>
    </w:p>
    <w:p w14:paraId="638A1763" w14:textId="77777777" w:rsidR="007C2028" w:rsidRPr="003F3B0B" w:rsidRDefault="007C2028" w:rsidP="007C2028">
      <w:pPr>
        <w:spacing w:after="0"/>
        <w:jc w:val="center"/>
      </w:pPr>
      <w:proofErr w:type="gramStart"/>
      <w:r w:rsidRPr="003F3B0B">
        <w:rPr>
          <w:vertAlign w:val="superscript"/>
        </w:rPr>
        <w:t>c</w:t>
      </w:r>
      <w:proofErr w:type="gramEnd"/>
      <w:r w:rsidRPr="003F3B0B">
        <w:rPr>
          <w:vertAlign w:val="superscript"/>
        </w:rPr>
        <w:t xml:space="preserve"> </w:t>
      </w:r>
      <w:r w:rsidRPr="003F3B0B">
        <w:t>Civil Engineering, National University of Ireland, Galway, Ireland</w:t>
      </w:r>
    </w:p>
    <w:p w14:paraId="4E63997F" w14:textId="77777777" w:rsidR="00550968" w:rsidRPr="003F3B0B" w:rsidRDefault="007C2028" w:rsidP="00550968">
      <w:pPr>
        <w:spacing w:after="0"/>
        <w:jc w:val="center"/>
      </w:pPr>
      <w:proofErr w:type="gramStart"/>
      <w:r w:rsidRPr="003F3B0B">
        <w:rPr>
          <w:vertAlign w:val="superscript"/>
        </w:rPr>
        <w:t>d</w:t>
      </w:r>
      <w:proofErr w:type="gramEnd"/>
      <w:r w:rsidRPr="003F3B0B">
        <w:rPr>
          <w:vertAlign w:val="superscript"/>
        </w:rPr>
        <w:t xml:space="preserve"> </w:t>
      </w:r>
      <w:r w:rsidRPr="003F3B0B">
        <w:t xml:space="preserve">Mechanical Engineering, </w:t>
      </w:r>
      <w:r w:rsidR="00550968" w:rsidRPr="003F3B0B">
        <w:t>National University of Ireland, Galway, Ireland</w:t>
      </w:r>
    </w:p>
    <w:p w14:paraId="54A6A67B" w14:textId="77777777" w:rsidR="007C2028" w:rsidRPr="003F3B0B" w:rsidRDefault="007C2028" w:rsidP="007C2028">
      <w:pPr>
        <w:spacing w:after="0"/>
        <w:jc w:val="center"/>
      </w:pPr>
      <w:r w:rsidRPr="003F3B0B">
        <w:rPr>
          <w:vertAlign w:val="superscript"/>
        </w:rPr>
        <w:t>1</w:t>
      </w:r>
      <w:r w:rsidRPr="003F3B0B">
        <w:t xml:space="preserve"> Joint senior </w:t>
      </w:r>
      <w:proofErr w:type="gramStart"/>
      <w:r w:rsidRPr="003F3B0B">
        <w:t>authors</w:t>
      </w:r>
      <w:proofErr w:type="gramEnd"/>
    </w:p>
    <w:p w14:paraId="184D9673" w14:textId="43294532" w:rsidR="007C2028" w:rsidRPr="003F3B0B" w:rsidRDefault="007C2028" w:rsidP="007C2028">
      <w:pPr>
        <w:spacing w:after="0"/>
        <w:jc w:val="center"/>
      </w:pPr>
      <w:r w:rsidRPr="003F3B0B">
        <w:t xml:space="preserve">* Corresponding author: </w:t>
      </w:r>
      <w:r w:rsidR="00D140D5" w:rsidRPr="003F3B0B">
        <w:t>Dr</w:t>
      </w:r>
      <w:r w:rsidRPr="003F3B0B">
        <w:t xml:space="preserve">. </w:t>
      </w:r>
      <w:r w:rsidR="00D140D5" w:rsidRPr="003F3B0B">
        <w:t>Sinéad O’Halloran</w:t>
      </w:r>
      <w:r w:rsidRPr="003F3B0B">
        <w:t xml:space="preserve">, </w:t>
      </w:r>
      <w:hyperlink r:id="rId9" w:history="1">
        <w:r w:rsidR="00D92FD4" w:rsidRPr="003F3B0B">
          <w:rPr>
            <w:rStyle w:val="Hyperlink"/>
            <w:color w:val="auto"/>
          </w:rPr>
          <w:t>sohalloran@wit.ie</w:t>
        </w:r>
      </w:hyperlink>
    </w:p>
    <w:p w14:paraId="7391847A" w14:textId="77777777" w:rsidR="007C2028" w:rsidRPr="003F3B0B" w:rsidRDefault="007C2028" w:rsidP="007C2028">
      <w:pPr>
        <w:spacing w:after="0"/>
        <w:jc w:val="center"/>
      </w:pPr>
    </w:p>
    <w:p w14:paraId="30944032" w14:textId="77777777" w:rsidR="007C2028" w:rsidRPr="003F3B0B" w:rsidRDefault="007C2028" w:rsidP="007C2028">
      <w:pPr>
        <w:pStyle w:val="Heading1"/>
        <w:numPr>
          <w:ilvl w:val="0"/>
          <w:numId w:val="0"/>
        </w:numPr>
      </w:pPr>
      <w:r w:rsidRPr="003F3B0B">
        <w:t xml:space="preserve">Abstract </w:t>
      </w:r>
    </w:p>
    <w:p w14:paraId="27814CCA" w14:textId="0C3F84F0" w:rsidR="0055639C" w:rsidRPr="003F3B0B" w:rsidRDefault="0055639C" w:rsidP="007C2028">
      <w:pPr>
        <w:rPr>
          <w:lang w:eastAsia="es-ES"/>
        </w:rPr>
      </w:pPr>
      <w:r w:rsidRPr="003F3B0B">
        <w:rPr>
          <w:lang w:eastAsia="es-ES"/>
        </w:rPr>
        <w:t xml:space="preserve">In this paper, a global-local fretting design methodology for the pressure armour layer of flexible marine risers is outlined. This includes global dynamic riser analysis, geometrical and analytical sub-models and local nub-groove contact finite element analysis. Furthermore, a fretting test rig is developed and utilised to quantify coefficient of friction and wear coefficient under representative nub-groove loading conditions. The combination of the global-local computational methodology and experimental characterisation of pressure armour wire material allows for the development of running condition fretting maps. This identifies design criteria for critical riser global curvatures </w:t>
      </w:r>
      <w:r w:rsidR="002B0676" w:rsidRPr="003F3B0B">
        <w:rPr>
          <w:lang w:eastAsia="es-ES"/>
        </w:rPr>
        <w:t>that are</w:t>
      </w:r>
      <w:r w:rsidRPr="003F3B0B">
        <w:rPr>
          <w:lang w:eastAsia="es-ES"/>
        </w:rPr>
        <w:t xml:space="preserve"> associated with minimum number of lives to failure. The design methodology presente</w:t>
      </w:r>
      <w:r w:rsidR="002B0676" w:rsidRPr="003F3B0B">
        <w:rPr>
          <w:lang w:eastAsia="es-ES"/>
        </w:rPr>
        <w:t xml:space="preserve">d in this paper is applied to a realistic riser design study, using extreme sea-state loading conditions. In this case study, the predicted pressure armour fretting fatigue lives are found to be in the same range as </w:t>
      </w:r>
      <w:proofErr w:type="spellStart"/>
      <w:r w:rsidR="0006422F" w:rsidRPr="003F3B0B">
        <w:rPr>
          <w:lang w:eastAsia="es-ES"/>
        </w:rPr>
        <w:t>the</w:t>
      </w:r>
      <w:r w:rsidR="002B0676" w:rsidRPr="003F3B0B">
        <w:rPr>
          <w:lang w:eastAsia="es-ES"/>
        </w:rPr>
        <w:t>plain</w:t>
      </w:r>
      <w:proofErr w:type="spellEnd"/>
      <w:r w:rsidR="002B0676" w:rsidRPr="003F3B0B">
        <w:rPr>
          <w:lang w:eastAsia="es-ES"/>
        </w:rPr>
        <w:t xml:space="preserve"> fatigue lives</w:t>
      </w:r>
      <w:r w:rsidR="0006422F" w:rsidRPr="003F3B0B">
        <w:rPr>
          <w:lang w:eastAsia="es-ES"/>
        </w:rPr>
        <w:t xml:space="preserve"> of the tensile armour layer</w:t>
      </w:r>
      <w:r w:rsidR="002B0676" w:rsidRPr="003F3B0B">
        <w:rPr>
          <w:lang w:eastAsia="es-ES"/>
        </w:rPr>
        <w:t xml:space="preserve">. </w:t>
      </w:r>
    </w:p>
    <w:p w14:paraId="64687427" w14:textId="77777777" w:rsidR="007C2028" w:rsidRPr="003F3B0B" w:rsidRDefault="007C2028" w:rsidP="007C2028">
      <w:r w:rsidRPr="003F3B0B">
        <w:rPr>
          <w:b/>
        </w:rPr>
        <w:lastRenderedPageBreak/>
        <w:t xml:space="preserve">Keywords:  </w:t>
      </w:r>
      <w:r w:rsidRPr="003F3B0B">
        <w:t xml:space="preserve">Flexible </w:t>
      </w:r>
      <w:r w:rsidR="00601F91" w:rsidRPr="003F3B0B">
        <w:t>marine risers, nub-groove contact, crack initiation, fretting wear, fretting fatigue, fretting case study</w:t>
      </w:r>
    </w:p>
    <w:p w14:paraId="163CDB2E" w14:textId="77777777" w:rsidR="00C63145" w:rsidRPr="003F3B0B" w:rsidRDefault="00C63145" w:rsidP="007C2028"/>
    <w:p w14:paraId="37B1337A" w14:textId="77777777" w:rsidR="007C2028" w:rsidRPr="003F3B0B" w:rsidRDefault="007C2028" w:rsidP="007C2028">
      <w:pPr>
        <w:pStyle w:val="Heading1"/>
      </w:pPr>
      <w:r w:rsidRPr="003F3B0B">
        <w:t>Introduction</w:t>
      </w:r>
    </w:p>
    <w:p w14:paraId="241098E7" w14:textId="478DF405" w:rsidR="00257001" w:rsidRPr="003F3B0B" w:rsidRDefault="00C63145" w:rsidP="00257001">
      <w:r w:rsidRPr="003F3B0B">
        <w:rPr>
          <w:lang w:eastAsia="es-ES"/>
        </w:rPr>
        <w:t>Fretting is a surface damage mechanism</w:t>
      </w:r>
      <w:r w:rsidR="0006422F" w:rsidRPr="003F3B0B">
        <w:rPr>
          <w:lang w:eastAsia="es-ES"/>
        </w:rPr>
        <w:t>, which</w:t>
      </w:r>
      <w:r w:rsidRPr="003F3B0B">
        <w:rPr>
          <w:lang w:eastAsia="es-ES"/>
        </w:rPr>
        <w:t xml:space="preserve"> occurs in</w:t>
      </w:r>
      <w:r w:rsidR="009559D5" w:rsidRPr="003F3B0B">
        <w:rPr>
          <w:lang w:eastAsia="es-ES"/>
        </w:rPr>
        <w:t xml:space="preserve"> bodies in contact under a normal, clamping load and cyclical tangential loading.</w:t>
      </w:r>
      <w:r w:rsidR="00257001" w:rsidRPr="003F3B0B">
        <w:rPr>
          <w:lang w:eastAsia="es-ES"/>
        </w:rPr>
        <w:t xml:space="preserve"> </w:t>
      </w:r>
      <w:r w:rsidR="00257001" w:rsidRPr="003F3B0B">
        <w:t xml:space="preserve">Fretting contact conditions can be classified according to slip regime </w:t>
      </w:r>
      <w:r w:rsidR="00257001" w:rsidRPr="003F3B0B">
        <w:fldChar w:fldCharType="begin" w:fldLock="1"/>
      </w:r>
      <w:r w:rsidR="00A8032E" w:rsidRPr="003F3B0B">
        <w:instrText>ADDIN CSL_CITATION { "citationItems" : [ { "id" : "ITEM-1", "itemData" : { "DOI" : "10.1520/STP25816S", "author" : [ { "dropping-particle" : "", "family" : "Dobromirski", "given" : "JM", "non-dropping-particle" : "", "parse-names" : false, "suffix" : "" } ], "container-title" : "Standardization of Fretting Fatigue Test Methods and Equipment", "genre" : "Standard", "id" : "ITEM-1", "issued" : { "date-parts" : [ [ "1992" ] ] }, "page" : "60-60-7", "publisher" : "M.H. Attia (Eds.)", "title" : "Variables of fretting process: Are there 50 of them?", "type" : "article" }, "uris" : [ "http://www.mendeley.com/documents/?uuid=9c298936-cb34-4a2e-a326-37ca6ceaa0bd", "http://www.mendeley.com/documents/?uuid=c97904a5-fee9-446b-94b6-3d241fa2747d" ] } ], "mendeley" : { "formattedCitation" : "[1]", "plainTextFormattedCitation" : "[1]", "previouslyFormattedCitation" : "[1]" }, "properties" : { "noteIndex" : 0 }, "schema" : "https://github.com/citation-style-language/schema/raw/master/csl-citation.json" }</w:instrText>
      </w:r>
      <w:r w:rsidR="00257001" w:rsidRPr="003F3B0B">
        <w:fldChar w:fldCharType="separate"/>
      </w:r>
      <w:r w:rsidR="00257001" w:rsidRPr="003F3B0B">
        <w:rPr>
          <w:noProof/>
        </w:rPr>
        <w:t>[1]</w:t>
      </w:r>
      <w:r w:rsidR="00257001" w:rsidRPr="003F3B0B">
        <w:fldChar w:fldCharType="end"/>
      </w:r>
      <w:r w:rsidR="00257001" w:rsidRPr="003F3B0B">
        <w:t>, depending on the slip amplitude as follows: (</w:t>
      </w:r>
      <w:proofErr w:type="spellStart"/>
      <w:r w:rsidR="00257001" w:rsidRPr="003F3B0B">
        <w:t>i</w:t>
      </w:r>
      <w:proofErr w:type="spellEnd"/>
      <w:r w:rsidR="00257001" w:rsidRPr="003F3B0B">
        <w:t xml:space="preserve">) gross slip (for limiting friction conditions), (ii) partial slip (below limiting friction) and (iii) stick. The slip regime depends specifically on the applied combination of normal (clamping) load and tangential load or displacement. </w:t>
      </w:r>
      <w:proofErr w:type="spellStart"/>
      <w:r w:rsidR="00257001" w:rsidRPr="003F3B0B">
        <w:t>Glaeser</w:t>
      </w:r>
      <w:proofErr w:type="spellEnd"/>
      <w:r w:rsidR="00A8032E" w:rsidRPr="003F3B0B">
        <w:t xml:space="preserve"> </w:t>
      </w:r>
      <w:r w:rsidR="00A8032E" w:rsidRPr="003F3B0B">
        <w:fldChar w:fldCharType="begin" w:fldLock="1"/>
      </w:r>
      <w:r w:rsidR="00A8032E" w:rsidRPr="003F3B0B">
        <w:instrText>ADDIN CSL_CITATION { "citationItems" : [ { "id" : "ITEM-1", "itemData" : { "author" : [ { "dropping-particle" : "", "family" : "Glaeser", "given" : "W. A.", "non-dropping-particle" : "", "parse-names" : false, "suffix" : "" } ], "id" : "ITEM-1", "issued" : { "date-parts" : [ [ "1981" ] ] }, "publisher" : "Battelle, Columbus Division", "title" : "Tribology, the science of combating wear", "type" : "book" }, "uris" : [ "http://www.mendeley.com/documents/?uuid=ea38ab88-0f13-48d7-825d-f03fb3592c65" ] } ], "mendeley" : { "formattedCitation" : "[2]", "plainTextFormattedCitation" : "[2]", "previouslyFormattedCitation" : "[2]" }, "properties" : { "noteIndex" : 2 }, "schema" : "https://github.com/citation-style-language/schema/raw/master/csl-citation.json" }</w:instrText>
      </w:r>
      <w:r w:rsidR="00A8032E" w:rsidRPr="003F3B0B">
        <w:fldChar w:fldCharType="separate"/>
      </w:r>
      <w:r w:rsidR="00A8032E" w:rsidRPr="003F3B0B">
        <w:rPr>
          <w:noProof/>
        </w:rPr>
        <w:t>[2]</w:t>
      </w:r>
      <w:r w:rsidR="00A8032E" w:rsidRPr="003F3B0B">
        <w:fldChar w:fldCharType="end"/>
      </w:r>
      <w:r w:rsidR="00257001" w:rsidRPr="003F3B0B">
        <w:t xml:space="preserve"> reported that billions of dollars could be saved if wear and fatigue life of engineering components could be improved.</w:t>
      </w:r>
      <w:r w:rsidR="00067571" w:rsidRPr="003F3B0B">
        <w:t xml:space="preserve"> </w:t>
      </w:r>
      <w:r w:rsidR="00257001" w:rsidRPr="003F3B0B">
        <w:t xml:space="preserve">Since then improvements have been made in the </w:t>
      </w:r>
      <w:r w:rsidR="004B6886" w:rsidRPr="003F3B0B">
        <w:t xml:space="preserve">understanding and analysis </w:t>
      </w:r>
      <w:r w:rsidR="00257001" w:rsidRPr="003F3B0B">
        <w:t xml:space="preserve">of fretting wear and fatigue performance of components, such as spline couplings, </w:t>
      </w:r>
      <w:r w:rsidR="0006422F" w:rsidRPr="003F3B0B">
        <w:t>for</w:t>
      </w:r>
      <w:r w:rsidR="00257001" w:rsidRPr="003F3B0B">
        <w:t xml:space="preserve"> aerospace </w:t>
      </w:r>
      <w:r w:rsidR="0006422F" w:rsidRPr="003F3B0B">
        <w:t>applications</w:t>
      </w:r>
      <w:r w:rsidR="00A8032E" w:rsidRPr="003F3B0B">
        <w:t xml:space="preserve"> </w:t>
      </w:r>
      <w:r w:rsidR="00A8032E" w:rsidRPr="003F3B0B">
        <w:fldChar w:fldCharType="begin" w:fldLock="1"/>
      </w:r>
      <w:r w:rsidR="00456617" w:rsidRPr="003F3B0B">
        <w:instrText>ADDIN CSL_CITATION { "citationItems" : [ { "id" : "ITEM-1", "itemData" : { "DOI" : "10.1016/j.wear.2006.12.056", "ISSN" : "00431648", "author" : [ { "dropping-particle" : "", "family" : "Ding", "given" : "J.", "non-dropping-particle" : "", "parse-names" : false, "suffix" : "" }, { "dropping-particle" : "", "family" : "McColl", "given" : "I.R.", "non-dropping-particle" : "", "parse-names" : false, "suffix" : "" }, { "dropping-particle" : "", "family" : "Leen", "given" : "S.B.", "non-dropping-particle" : "", "parse-names" : false, "suffix" : "" }, { "dropping-particle" : "", "family" : "Shipway", "given" : "P.H.", "non-dropping-particle" : "", "parse-names" : false, "suffix" : "" } ], "container-title" : "Wear", "id" : "ITEM-1", "issue" : "1-6", "issued" : { "date-parts" : [ [ "2007" ] ] }, "page" : "481-491", "title" : "A finite element based approach to simulating the effects of debris on fretting wear", "type" : "article-journal", "volume" : "263" }, "uris" : [ "http://www.mendeley.com/documents/?uuid=83129504-0abb-4b63-9d1b-6324fa0bd127" ] }, { "id" : "ITEM-2", "itemData" : { "DOI" : "10.1111/j.1460-2695.2009.01334.x", "ISSN" : "8756758X", "abstract" : "A novel fretting fatigue experimental methodology is presented for mimicking the salient fretting variables for arbitrary axial locations within a complex spline coupling geometry, under combined torque, axial loading and rotating bending moment. The approach permits the simulation, in a simplified test arrangement, of the superimposed multiaxial fretting conditions between the spline teeth. This is achieved via the combination of a low frequency in-plane cyclic normal clamping load and a higher frequency out-of-plane cyclic fatigue stress. The latter is known from spline fatigue tests to play a critical role, along with torque and axial loads, in fretting fatigue cracking of splines. \u00a9 2009 Blackwell Publishing Ltd.", "author" : [ { "dropping-particle" : "", "family" : "Wavish", "given" : "P. M.", "non-dropping-particle" : "", "parse-names" : false, "suffix" : "" }, { "dropping-particle" : "", "family" : "Houghton", "given" : "D.", "non-dropping-particle" : "", "parse-names" : false, "suffix" : "" }, { "dropping-particle" : "", "family" : "Ding", "given" : "J.", "non-dropping-particle" : "", "parse-names" : false, "suffix" : "" }, { "dropping-particle" : "", "family" : "Leen", "given" : "Sean B.", "non-dropping-particle" : "", "parse-names" : false, "suffix" : "" }, { "dropping-particle" : "", "family" : "Williams", "given" : "E. J.", "non-dropping-particle" : "", "parse-names" : false, "suffix" : "" }, { "dropping-particle" : "", "family" : "McColl", "given" : "I. R.", "non-dropping-particle" : "", "parse-names" : false, "suffix" : "" } ], "container-title" : "Fatigue and Fracture of Engineering Materials and Structures", "id" : "ITEM-2", "issue" : "4", "issued" : { "date-parts" : [ [ "2009" ] ] }, "page" : "325-345", "title" : "A multiaxial fretting fatigue test for spline coupling contact", "type" : "article-journal", "volume" : "32" }, "uris" : [ "http://www.mendeley.com/documents/?uuid=4053395b-5821-4cb0-934d-7131b66c0fc7" ] } ], "mendeley" : { "formattedCitation" : "[3,4]", "plainTextFormattedCitation" : "[3,4]", "previouslyFormattedCitation" : "[3,4]" }, "properties" : { "noteIndex" : 2 }, "schema" : "https://github.com/citation-style-language/schema/raw/master/csl-citation.json" }</w:instrText>
      </w:r>
      <w:r w:rsidR="00A8032E" w:rsidRPr="003F3B0B">
        <w:fldChar w:fldCharType="separate"/>
      </w:r>
      <w:r w:rsidR="002954DC" w:rsidRPr="003F3B0B">
        <w:rPr>
          <w:noProof/>
        </w:rPr>
        <w:t>[3,4]</w:t>
      </w:r>
      <w:r w:rsidR="00A8032E" w:rsidRPr="003F3B0B">
        <w:fldChar w:fldCharType="end"/>
      </w:r>
      <w:r w:rsidR="00257001" w:rsidRPr="003F3B0B">
        <w:t xml:space="preserve">, gas turbine dovetail joints </w:t>
      </w:r>
      <w:r w:rsidR="00257001" w:rsidRPr="003F3B0B">
        <w:fldChar w:fldCharType="begin" w:fldLock="1"/>
      </w:r>
      <w:r w:rsidR="00456617" w:rsidRPr="003F3B0B">
        <w:instrText>ADDIN CSL_CITATION { "citationItems" : [ { "id" : "ITEM-1", "itemData" : { "ISSN" : "0014-4851", "author" : [ { "dropping-particle" : "", "family" : "Ruiz", "given" : "C", "non-dropping-particle" : "", "parse-names" : false, "suffix" : "" }, { "dropping-particle" : "", "family" : "Boddington", "given" : "P H B", "non-dropping-particle" : "", "parse-names" : false, "suffix" : "" }, { "dropping-particle" : "", "family" : "Chen", "given" : "K C", "non-dropping-particle" : "", "parse-names" : false, "suffix" : "" } ], "container-title" : "Experimental Mechanics", "id" : "ITEM-1", "issue" : "3", "issued" : { "date-parts" : [ [ "1984" ] ] }, "page" : "208-217", "publisher" : "Springer", "title" : "An investigation of fatigue and fretting in a dovetail joint", "type" : "article-journal", "volume" : "24" }, "uris" : [ "http://www.mendeley.com/documents/?uuid=0ddcfd82-91cd-418f-b06d-774cc53e27e6" ] }, { "id" : "ITEM-2", "itemData" : { "DOI" : "10.1016/j.engfracmech.2005.01.013", "ISSN" : "00137944", "author" : [ { "dropping-particle" : "", "family" : "Nowell", "given" : "D.", "non-dropping-particle" : "", "parse-names" : false, "suffix" : "" }, { "dropping-particle" : "", "family" : "Dini", "given" : "D.", "non-dropping-particle" : "", "parse-names" : false, "suffix" : "" }, { "dropping-particle" : "", "family" : "Hills", "given" : "D.A.", "non-dropping-particle" : "", "parse-names" : false, "suffix" : "" } ], "container-title" : "Engineering Fracture Mechanics", "id" : "ITEM-2", "issue" : "2", "issued" : { "date-parts" : [ [ "2006" ] ] }, "page" : "207-222", "title" : "Recent developments in the understanding of fretting fatigue", "type" : "article-journal", "volume" : "73" }, "uris" : [ "http://www.mendeley.com/documents/?uuid=90555e69-0f5e-4cc4-8cf0-ce968e95ce9e" ] } ], "mendeley" : { "formattedCitation" : "[5,6]", "plainTextFormattedCitation" : "[5,6]", "previouslyFormattedCitation" : "[5,6]" }, "properties" : { "noteIndex" : 0 }, "schema" : "https://github.com/citation-style-language/schema/raw/master/csl-citation.json" }</w:instrText>
      </w:r>
      <w:r w:rsidR="00257001" w:rsidRPr="003F3B0B">
        <w:fldChar w:fldCharType="separate"/>
      </w:r>
      <w:r w:rsidR="00456617" w:rsidRPr="003F3B0B">
        <w:rPr>
          <w:noProof/>
        </w:rPr>
        <w:t>[5,6]</w:t>
      </w:r>
      <w:r w:rsidR="00257001" w:rsidRPr="003F3B0B">
        <w:fldChar w:fldCharType="end"/>
      </w:r>
      <w:r w:rsidR="00257001" w:rsidRPr="003F3B0B">
        <w:t xml:space="preserve">, steel wire ropes </w:t>
      </w:r>
      <w:r w:rsidR="00257001" w:rsidRPr="003F3B0B">
        <w:fldChar w:fldCharType="begin" w:fldLock="1"/>
      </w:r>
      <w:r w:rsidR="00456617" w:rsidRPr="003F3B0B">
        <w:instrText>ADDIN CSL_CITATION { "citationItems" : [ { "id" : "ITEM-1", "itemData" : { "DOI" : "10.1016/j.wear.2010.02.017", "ISBN" : "0043-1648", "ISSN" : "00431648", "abstract" : "Different fretting tests of thin steel wires under different conditions (loads, strokes, number of cycles and mean pressures) were performed. The wires used had 0.45 mm in diameter and the material was a cold-drawn eutectoid carbon steel (0.8% C) with a tensile strength over 2800 MPa. The tests were carried out with 90\u00b0 \u201ccrossed cylinders\u201d configuration varying the stroke, normal load and testing time (number of cycles). Afterwards the volumetric wear was obtained using surface profilometry with diamond stylus. With a classical study of the coefficient of wear with respect to the sliding distance, the results show that the wear coefficient increases with normal load and stroke, consequently, for the same sliding distance, the wear produced was higher when the load and/or stroke is increased. In this work, the coefficient of wear is decreasing continuously as the test is running. In order to analyze better the wear behaviour, another method, in which the volumetric wear is compared with respect to the Archard's loading factor, is proposed. As result of this method, two distinctive behaviours were detected; one corresponds to the running-in period with a more aggressive wear behaviour and the second one to the stable steady state period. In all the tests the running-in period was similar with regard to the wear rates but in the stable period the wear rates were increasing with higher loads or strokes.", "author" : [ { "dropping-particle" : "", "family" : "Cruzado", "given" : "a.", "non-dropping-particle" : "", "parse-names" : false, "suffix" : "" }, { "dropping-particle" : "", "family" : "Hartelt", "given" : "M.", "non-dropping-particle" : "", "parse-names" : false, "suffix" : "" }, { "dropping-particle" : "", "family" : "W\u00e4sche", "given" : "R.", "non-dropping-particle" : "", "parse-names" : false, "suffix" : "" }, { "dropping-particle" : "", "family" : "Urchegui", "given" : "M.a.", "non-dropping-particle" : "", "parse-names" : false, "suffix" : "" }, { "dropping-particle" : "", "family" : "G\u00f3mez", "given" : "X.", "non-dropping-particle" : "", "parse-names" : false, "suffix" : "" } ], "container-title" : "Wear", "genre" : "Journal Article", "id" : "ITEM-1", "issue" : "11-12", "issued" : { "date-parts" : [ [ "2010" ] ] }, "page" : "1409-1416", "title" : "Fretting wear of thin steel wires. Part 1: Influence of contact pressure", "type" : "article-journal", "volume" : "268" }, "uris" : [ "http://www.mendeley.com/documents/?uuid=4bcc85ff-50dd-4ac3-8a01-2deb984a7f58", "http://www.mendeley.com/documents/?uuid=ecfcb7f6-721c-404a-bf31-3c073aa94846" ] } ], "mendeley" : { "formattedCitation" : "[7]", "plainTextFormattedCitation" : "[7]", "previouslyFormattedCitation" : "[7]" }, "properties" : { "noteIndex" : 0 }, "schema" : "https://github.com/citation-style-language/schema/raw/master/csl-citation.json" }</w:instrText>
      </w:r>
      <w:r w:rsidR="00257001" w:rsidRPr="003F3B0B">
        <w:fldChar w:fldCharType="separate"/>
      </w:r>
      <w:r w:rsidR="00456617" w:rsidRPr="003F3B0B">
        <w:rPr>
          <w:noProof/>
        </w:rPr>
        <w:t>[7]</w:t>
      </w:r>
      <w:r w:rsidR="00257001" w:rsidRPr="003F3B0B">
        <w:fldChar w:fldCharType="end"/>
      </w:r>
      <w:r w:rsidR="00257001" w:rsidRPr="003F3B0B">
        <w:t xml:space="preserve"> and other industrial applications. </w:t>
      </w:r>
      <w:r w:rsidR="004003D3" w:rsidRPr="003F3B0B">
        <w:t>Many researchers have experimentally investigated fretting wear</w:t>
      </w:r>
      <w:r w:rsidR="00456617" w:rsidRPr="003F3B0B">
        <w:t xml:space="preserve"> and</w:t>
      </w:r>
      <w:r w:rsidR="004003D3" w:rsidRPr="003F3B0B">
        <w:t xml:space="preserve"> fretting fatigue, e.g. </w:t>
      </w:r>
      <w:r w:rsidR="004003D3" w:rsidRPr="003F3B0B">
        <w:fldChar w:fldCharType="begin" w:fldLock="1"/>
      </w:r>
      <w:r w:rsidR="00456617" w:rsidRPr="003F3B0B">
        <w:instrText>ADDIN CSL_CITATION { "citationItems" : [ { "id" : "ITEM-1", "itemData" : { "DOI" : "10.1016/j.wear.2011.03.014", "ISSN" : "00431648", "author" : [ { "dropping-particle" : "", "family" : "Mulvihill", "given" : "D.M.", "non-dropping-particle" : "", "parse-names" : false, "suffix" : "" }, { "dropping-particle" : "", "family" : "Kartal", "given" : "M.E.", "non-dropping-particle" : "", "parse-names" : false, "suffix" : "" }, { "dropping-particle" : "", "family" : "Olver", "given" : "A.V.", "non-dropping-particle" : "", "parse-names" : false, "suffix" : "" }, { "dropping-particle" : "", "family" : "Nowell", "given" : "D.", "non-dropping-particle" : "", "parse-names" : false, "suffix" : "" }, { "dropping-particle" : "", "family" : "Hills", "given" : "D.A.", "non-dropping-particle" : "", "parse-names" : false, "suffix" : "" } ], "container-title" : "Wear", "id" : "ITEM-1", "issue" : "5-6", "issued" : { "date-parts" : [ [ "2011" ] ] }, "page" : "802-816", "publisher" : "Elsevier B.V.", "title" : "Investigation of non-Coulomb friction behaviour in reciprocating sliding", "type" : "article-journal", "volume" : "271" }, "uris" : [ "http://www.mendeley.com/documents/?uuid=4b52b1df-e52d-4e19-a4de-42da3311fd02" ] }, { "id" : "ITEM-2", "itemData" : { "DOI" : "10.1016/j.ijengsci.2010.11.007", "ISSN" : "00207225", "author" : [ { "dropping-particle" : "", "family" : "Kartal", "given" : "M.E.", "non-dropping-particle" : "", "parse-names" : false, "suffix" : "" }, { "dropping-particle" : "", "family" : "Barber", "given" : "J.R.", "non-dropping-particle" : "", "parse-names" : false, "suffix" : "" }, { "dropping-particle" : "", "family" : "Hills", "given" : "D.a.", "non-dropping-particle" : "", "parse-names" : false, "suffix" : "" }, { "dropping-particle" : "", "family" : "Nowell", "given" : "D.", "non-dropping-particle" : "", "parse-names" : false, "suffix" : "" } ], "container-title" : "International Journal of Engineering Science", "id" : "ITEM-2", "issue" : "2", "issued" : { "date-parts" : [ [ "2011" ] ] }, "page" : "203-211", "publisher" : "Elsevier Ltd", "title" : "Partial slip problem for two semi-infinite strips in contact", "type" : "article-journal", "volume" : "49" }, "uris" : [ "http://www.mendeley.com/documents/?uuid=da7d5a24-3e8a-4f4b-a296-99e8aadcc1ee" ] }, { "id" : "ITEM-3", "itemData" : { "DOI" : "10.1016/S0043-1648(02)00007-8", "ISBN" : "0043-1648", "ISSN" : "00431648", "abstract" : "An earlier form of fretting-fatigue test apparatus employs two collinear hydraulic actuators to impose bulk tension and shear. This apparatus employed a Hertzian contact to induce well-defined tractions. However, it is very difficult to make use of information culled from such tests in designing contacts which are either complete or almost complete in nature. A modified apparatus for investigating experimentally fretting fatigue under complete and nearly complete contact conditions is described. For these cases, any misalignment in the plane of the contact would alter the contact pressure distribution significantly leaving the results of the test questionable. Additionally, when applying a shearing force, it should be in the plane of the contact, eliminating the risk of a rocking moment which would otherwise have a similar effect. Here, we describe a testing apparatus that allows the above two issues to be addressed and resolved. The contact then sits in its \"natural position\" on the test specimen and the applied shearing force is in the plane containing the contact. Further implications for the development of the coefficient of friction are discussed.", "author" : [ { "dropping-particle" : "", "family" : "Mugadu", "given" : "A", "non-dropping-particle" : "", "parse-names" : false, "suffix" : "" }, { "dropping-particle" : "", "family" : "Hills", "given" : "D A", "non-dropping-particle" : "", "parse-names" : false, "suffix" : "" }, { "dropping-particle" : "", "family" : "Nowell", "given" : "D", "non-dropping-particle" : "", "parse-names" : false, "suffix" : "" } ], "container-title" : "Wear", "id" : "ITEM-3", "issue" : "5-6", "issued" : { "date-parts" : [ [ "2002" ] ] }, "page" : "475-483", "title" : "Modifications to a fretting-fatigue testing apparatus based upon an analysis of contact stresses at complete and nearly complete contacts", "type" : "article-journal", "volume" : "252" }, "uris" : [ "http://www.mendeley.com/documents/?uuid=4a6c5b74-46f8-4337-a528-8b118c969108" ] }, { "id" : "ITEM-4", "itemData" : { "DOI" : "10.1016/j.wear.2014.11.005", "ISBN" : "0043-1648", "ISSN" : "00431648", "abstract" : "More than 25 years ago, Vingsbo and S\u00f6derberg published a seminal paper regarding the mapping of behaviour in fretting contacts (O. Vingsbo, S. S\u00f6derberg, On fretting maps, Wear, 126 (1988) 131\u2013147). In this paper, it was proposed that in the gross-slip fretting regime, the wear coefficient increased by between one and two orders of magnitude as the fretting displacement amplitude increased from around 20\u00b5m to 300\u00b5m (defined as the limits of the gross-slip regime). Since the publication of this paper, there have been many papers published in the literature regarding fretting in the gross-sliding regime where such a strong dependence of wear coefficient upon fretting displacement has not been observed, with instead, the wear coefficient being shown to be almost independent of fretting amplitude. Indeed, many researchers have demonstrated that there is a good correlation between wear volume and frictional energy dissipated in the contact for many material combinations, with the additional insight that a threshold in energy dissipated in the contact exists, below which no wear is observed (experimental data relating to fretting of a high-strength steel is presented in the current paper which supports this concept). It is argued that in deriving a wear coefficient in fretting, there are two key considerations which have not always been addressed: (i) the far-field displacement amplitude is not an adequate substitute for the slip amplitude (the former is the sum of the latter together with any elastic deformation in the system between the contact and the point at which the displacement is measured); and (ii) there is a threshold in the fretting duration, below which no wear occurs and above which the rate of increase in wear volume with increasing duration is constant (this constant may be termed the wear coefficient, ktrue). Not addressing these two issues results in the derivation of a nominal wear coefficient (knominal) which is always less than ktrue. A simple analysis is presented which indicates thatknominalktrue=1\u2212A\u2212B where A is associated with erroneously utilising the far-field displacement amplitude in place of the contact slip amplitude in the calculation of the wear coefficient and B is associated with the failure to recognise that there is a threshold in fretting duration below which no wear occurs. A and B are shown to depend upon the tractional force required to initiate sliding (itself dependent upon the applied load and coefficient of fricti\u2026", "author" : [ { "dropping-particle" : "", "family" : "Pearson", "given" : "S.R.", "non-dropping-particle" : "", "parse-names" : false, "suffix" : "" }, { "dropping-particle" : "", "family" : "Shipway", "given" : "P.H.", "non-dropping-particle" : "", "parse-names" : false, "suffix" : "" } ], "container-title" : "Wear", "id" : "ITEM-4", "issued" : { "date-parts" : [ [ "2015" ] ] }, "page" : "93-102", "publisher" : "Elsevier", "title" : "Is the wear coefficient dependent upon slip amplitude in fretting? Vingsbo and S\u00f6derberg revisited", "type" : "article-journal", "volume" : "330-331" }, "uris" : [ "http://www.mendeley.com/documents/?uuid=5d472b58-e13b-4984-b252-0aeb50daf340" ] }, { "id" : "ITEM-5", "itemData" : { "DOI" : "10.1016/S0043-1648(01)00767-0", "ISSN" : "00431648", "author" : [ { "dropping-particle" : "", "family" : "Fouvry", "given" : "S", "non-dropping-particle" : "", "parse-names" : false, "suffix" : "" } ], "container-title" : "Wear", "id" : "ITEM-5", "issue" : "1-12", "issued" : { "date-parts" : [ [ "2001", "10" ] ] }, "page" : "1320-1331", "title" : "Shakedown analysis and fretting wear response under gross slip condition", "type" : "article-journal", "volume" : "251" }, "uris" : [ "http://www.mendeley.com/documents/?uuid=05339606-128e-3555-b9b0-e2c8987b7a8d" ] }, { "id" : "ITEM-6", "itemData" : { "ISBN" : "9789401582810", "abstract" : "The field of fretting fatigue is extremely important in many areas of mechanical engineering. Fatigue cracks frequently initiate not from free surfaces, but from clamped or bolted components suffering vibration or other forms of minor oscillatory loading. This produces surface degradation, and conditions ripe for the initiation and early propulsion of cracks, constituting the phenomenon of fretting fatigue. This volume presents a summary of the current state of knowledge of fretting fatigue, with particular reference to the influence of mechanical variables, such as the applied forces, coefficient of friction, and surface finish. The book includes elements of the theories of contact mechanics and fracture mechanics in order to establish a rigorous framework for the understanding of the phenomenon. It goes on to describe fretting fatigue experiments and to describe the influence of the variables cited on fretting fatigue performances. The treatment is largely independent of the materials studied. The book does not require specialised mathematical knowledge. For mechanical engineers and materials scientists in research and development. This volume can also be recommended as a supplementary text for graduate students. 1 Introduction -- 2 Basic Contact Mechanics -- 3 Contacts under Partial Slip -- 4 Advanced Contact Mechanics -- 5 Mechanics of Surfaces -- 6 The Analysis of Cracks -- 7 Fretting Fatigue Tests -- 8 Analysis of crack propagation -- 9 Analysis of crack initiation -- 10 Conclusions -- Appendix A -- Kernels for a dislocation in a half-plane -- References.", "author" : [ { "dropping-particle" : "", "family" : "Hills", "given" : "D. A.", "non-dropping-particle" : "", "parse-names" : false, "suffix" : "" }, { "dropping-particle" : "", "family" : "Nowell", "given" : "D.", "non-dropping-particle" : "", "parse-names" : false, "suffix" : "" } ], "id" : "ITEM-6", "issued" : { "date-parts" : [ [ "1994" ] ] }, "number-of-pages" : "260", "publisher" : "Springer Netherlands", "title" : "Mechanics of Fretting Fatique", "type" : "book" }, "uris" : [ "http://www.mendeley.com/documents/?uuid=66648de3-2d9e-3dff-b7b9-a06ebadbb7d5" ] } ], "mendeley" : { "formattedCitation" : "[8\u201313]", "plainTextFormattedCitation" : "[8\u201313]", "previouslyFormattedCitation" : "[8\u201313]" }, "properties" : { "noteIndex" : 2 }, "schema" : "https://github.com/citation-style-language/schema/raw/master/csl-citation.json" }</w:instrText>
      </w:r>
      <w:r w:rsidR="004003D3" w:rsidRPr="003F3B0B">
        <w:fldChar w:fldCharType="separate"/>
      </w:r>
      <w:r w:rsidR="00456617" w:rsidRPr="003F3B0B">
        <w:rPr>
          <w:noProof/>
        </w:rPr>
        <w:t>[8–13]</w:t>
      </w:r>
      <w:r w:rsidR="004003D3" w:rsidRPr="003F3B0B">
        <w:fldChar w:fldCharType="end"/>
      </w:r>
      <w:r w:rsidR="004003D3" w:rsidRPr="003F3B0B">
        <w:t xml:space="preserve">. </w:t>
      </w:r>
      <w:r w:rsidR="00456617" w:rsidRPr="003F3B0B">
        <w:t xml:space="preserve">It has been shown that the rapidly varying stress fields that occur in fretting fatigue loadings cause a contact size effect on the fretting fatigue life </w:t>
      </w:r>
      <w:r w:rsidR="00456617" w:rsidRPr="003F3B0B">
        <w:fldChar w:fldCharType="begin" w:fldLock="1"/>
      </w:r>
      <w:r w:rsidR="00EF5D3F" w:rsidRPr="003F3B0B">
        <w:instrText>ADDIN CSL_CITATION { "citationItems" : [ { "id" : "ITEM-1", "itemData" : { "DOI" : "10.1016/S0142-1123(01)00191-8", "ISSN" : "01421123", "abstract" : "An experimental and analytical study of the effect of varying contact stress fields on the initiation life of fretted specimens is conducted for two high strength alloys commonly used in the aerospace industry, namely Al4%Cu and Ti-6Al-4V. The experiments reveal there is a contact size effect in fretting fatigue life. Two critical plane models are used to predict the observed experimental lives. The results show that these models may provide over-conservative life estimates for fretting tests subjected to more rapidly varying contact stress fields. The existence of a critical stressed layer, or volume, is used to explain these results qualitatively, and averaging methods are then developed to allow the extension of the critical plane approach to cases of rapidly varying contact stress fields. It is shown that a critical averaging dimension of the order of the grain size of the material appears to give realistic estimates of fatigue life and predicts the observed size effect reported in the experimental work. \u00a9 2002 Elsevier Science Ltd. All rights reserved.", "author" : [ { "dropping-particle" : "", "family" : "Ara\u00fajo", "given" : "J. a.", "non-dropping-particle" : "", "parse-names" : false, "suffix" : "" }, { "dropping-particle" : "", "family" : "Nowell", "given" : "D.", "non-dropping-particle" : "", "parse-names" : false, "suffix" : "" } ], "container-title" : "International Journal of Fatigue", "id" : "ITEM-1", "issue" : "7", "issued" : { "date-parts" : [ [ "2002" ] ] }, "page" : "763-775", "title" : "The effect of rapidly varying contact stress fields on fretting fatigue", "type" : "article-journal", "volume" : "24" }, "uris" : [ "http://www.mendeley.com/documents/?uuid=9825843f-b1fb-4641-b18f-b8c8cac93346" ] }, { "id" : "ITEM-2", "itemData" : { "DOI" : "10.1111/j.1460-2695.2004.00820.x", "ISBN" : "8756-758X\\n1460-2695", "ISSN" : "8756-758X", "abstract" : "This work describes the application of multiaxial fatigue criteria based on critical plane and mesoscopic (Dang Van, 1973, Sciences et Techniques de l\u00c1rmement, 47, 647-722) approaches to predict the fatigue initiation life of fretted components. To validate the analysis, several tests under closely controlled laboratory conditions are carried out in a Ti-6Al-4V alloy. These classical Hertzian tests reveal a size effect where fretting fatigue lives vary with contact size. Experimentally available data for fretting fatigue of an Al-4Cu alloy are also used to assess the models. Neither the critical plane models nor the mesoscopic criterion considered can account for the effects of different contact stress fields on the initiation life, if the calculation is based only on highly stressed points on the surface. It is shown, however, that satisfactory results can be achieved if high values of the fatigue parameters are sustained over a critical volume. pyright 2004 Blackwell Publishing Ltd.", "author" : [ { "dropping-particle" : "", "family" : "Ara\u00fajo", "given" : "J A", "non-dropping-particle" : "", "parse-names" : false, "suffix" : "" }, { "dropping-particle" : "", "family" : "Nowell", "given" : "D", "non-dropping-particle" : "", "parse-names" : false, "suffix" : "" }, { "dropping-particle" : "", "family" : "Vivacqua", "given" : "R C", "non-dropping-particle" : "", "parse-names" : false, "suffix" : "" } ], "container-title" : "Fatigue and Fracture of Engineering Materials and Structures", "id" : "ITEM-2", "issue" : "10", "issued" : { "date-parts" : [ [ "2004" ] ] }, "page" : "967-978", "title" : "The use of multiaxial fatigue models to predict fretting fatigue life of components subjected to different contact stress fields", "type" : "article-journal", "volume" : "27" }, "uris" : [ "http://www.mendeley.com/documents/?uuid=e902ab98-0721-415f-867f-bbbd03e9afa1" ] }, { "id" : "ITEM-3", "itemData" : { "DOI" : "10.1016/S0142-1123(99)00077-8", "ISSN" : "01421123", "abstract" : "A series of fretting fatigue experiments are described in which the fatigue life is found to vary with contact size. There exists a critical contact size, where fatigue lives are longer than 107 cycles. Short crack methodologies based on the Kitagawa-Takahashi diagram are developed and used to predict the critical contact size in the experiments. Good agreement is found between experimental and predicted results. A discussion regarding the appropriate fundamental material parameters for cases where the stress field is non-uniform is also undertaken.", "author" : [ { "dropping-particle" : "", "family" : "Ara\u00fajo", "given" : "J. A.", "non-dropping-particle" : "", "parse-names" : false, "suffix" : "" }, { "dropping-particle" : "", "family" : "Nowell", "given" : "D.", "non-dropping-particle" : "", "parse-names" : false, "suffix" : "" } ], "container-title" : "International Journal of Fatigue", "id" : "ITEM-3", "issue" : "9", "issued" : { "date-parts" : [ [ "1999" ] ] }, "page" : "947-956", "publisher" : "Elsevier Science Ltd", "title" : "Analysis of pad size effects in fretting fatigue using short crack arrest methodologies", "type" : "article-journal", "volume" : "21" }, "uris" : [ "http://www.mendeley.com/documents/?uuid=2293ec05-1f05-38d2-8850-3aadadb8e3e9" ] }, { "id" : "ITEM-4", "itemData" : { "DOI" : "10.1016/S0301-679X(02)00134-2", "ISSN" : "0301679X", "abstract" : "This paper highlights the importance of high stress gradients in fretting fatigue. These pose a serious difficulty in attempting to employ plain fatigue data to predict fretting fatigue performance. Stress gradient effects may also be responsible for a size effect which is found to occur in many fretting situations. Here we review a number of possible approaches for dealing with high stress gradients. We then explore a notch analogy which might be used to generate equivalent stress gradients in plain fatigue. Some sample comparisons are given for typical dovetail geometries. \u00a9 2002 Elsevier Science Ltd. All rights reserved.", "author" : [ { "dropping-particle" : "", "family" : "Nowell", "given" : "David", "non-dropping-particle" : "", "parse-names" : false, "suffix" : "" }, { "dropping-particle" : "", "family" : "Dini", "given" : "D.", "non-dropping-particle" : "", "parse-names" : false, "suffix" : "" } ], "container-title" : "Tribology International", "id" : "ITEM-4", "issued" : { "date-parts" : [ [ "2003" ] ] }, "title" : "Stress gradient effects in fretting fatigue", "type" : "article-journal" }, "uris" : [ "http://www.mendeley.com/documents/?uuid=99d4ff0e-4db5-3e6d-96d4-8631f6f3936c" ] } ], "mendeley" : { "formattedCitation" : "[14\u201317]", "plainTextFormattedCitation" : "[14\u201317]", "previouslyFormattedCitation" : "[14\u201317]" }, "properties" : { "noteIndex" : 2 }, "schema" : "https://github.com/citation-style-language/schema/raw/master/csl-citation.json" }</w:instrText>
      </w:r>
      <w:r w:rsidR="00456617" w:rsidRPr="003F3B0B">
        <w:fldChar w:fldCharType="separate"/>
      </w:r>
      <w:r w:rsidR="00EF5D3F" w:rsidRPr="003F3B0B">
        <w:rPr>
          <w:noProof/>
        </w:rPr>
        <w:t>[14–17]</w:t>
      </w:r>
      <w:r w:rsidR="00456617" w:rsidRPr="003F3B0B">
        <w:fldChar w:fldCharType="end"/>
      </w:r>
      <w:r w:rsidR="00456617" w:rsidRPr="003F3B0B">
        <w:t xml:space="preserve">. </w:t>
      </w:r>
      <w:r w:rsidR="00257001" w:rsidRPr="003F3B0B">
        <w:t xml:space="preserve">Burke and </w:t>
      </w:r>
      <w:proofErr w:type="spellStart"/>
      <w:r w:rsidR="00257001" w:rsidRPr="003F3B0B">
        <w:t>Witz</w:t>
      </w:r>
      <w:proofErr w:type="spellEnd"/>
      <w:r w:rsidR="00A8032E" w:rsidRPr="003F3B0B">
        <w:t xml:space="preserve"> </w:t>
      </w:r>
      <w:r w:rsidR="00A8032E" w:rsidRPr="003F3B0B">
        <w:fldChar w:fldCharType="begin" w:fldLock="1"/>
      </w:r>
      <w:r w:rsidR="00EF5D3F" w:rsidRPr="003F3B0B">
        <w:instrText>ADDIN CSL_CITATION { "citationItems" : [ { "id" : "ITEM-1", "itemData" : { "author" : [ { "dropping-particle" : "", "family" : "Burke", "given" : "R.N.", "non-dropping-particle" : "", "parse-names" : false, "suffix" : "" }, { "dropping-particle" : "", "family" : "Witz", "given" : "J.A.", "non-dropping-particle" : "", "parse-names" : false, "suffix" : "" } ], "container-title" : "3rd European Conference on Flexible Pipes, Unbilicals and Marine Cables - Materials Utilisation for cyclic and Thermal Loading", "id" : "ITEM-1", "issued" : { "date-parts" : [ [ "1995" ] ] }, "title" : "NFretting Fatigue of Flexible Pipe Pressure Armour", "type" : "paper-conference" }, "uris" : [ "http://www.mendeley.com/documents/?uuid=4f4e156f-52ea-401d-afa9-652aa3b57775" ] } ], "mendeley" : { "formattedCitation" : "[18]", "plainTextFormattedCitation" : "[18]", "previouslyFormattedCitation" : "[18]" }, "properties" : { "noteIndex" : 3 }, "schema" : "https://github.com/citation-style-language/schema/raw/master/csl-citation.json" }</w:instrText>
      </w:r>
      <w:r w:rsidR="00A8032E" w:rsidRPr="003F3B0B">
        <w:fldChar w:fldCharType="separate"/>
      </w:r>
      <w:r w:rsidR="00EF5D3F" w:rsidRPr="003F3B0B">
        <w:rPr>
          <w:noProof/>
        </w:rPr>
        <w:t>[18]</w:t>
      </w:r>
      <w:r w:rsidR="00A8032E" w:rsidRPr="003F3B0B">
        <w:fldChar w:fldCharType="end"/>
      </w:r>
      <w:r w:rsidR="00257001" w:rsidRPr="003F3B0B">
        <w:t xml:space="preserve"> presented an</w:t>
      </w:r>
      <w:r w:rsidR="0006422F" w:rsidRPr="003F3B0B">
        <w:t xml:space="preserve"> overview</w:t>
      </w:r>
      <w:r w:rsidR="00FE1E2D" w:rsidRPr="003F3B0B">
        <w:t xml:space="preserve"> of fretting </w:t>
      </w:r>
      <w:r w:rsidR="0006422F" w:rsidRPr="003F3B0B">
        <w:t xml:space="preserve">issues </w:t>
      </w:r>
      <w:r w:rsidR="00FE1E2D" w:rsidRPr="003F3B0B">
        <w:t>in the pressure armour wire of flexible marine risers</w:t>
      </w:r>
      <w:r w:rsidR="00257001" w:rsidRPr="003F3B0B">
        <w:t xml:space="preserve"> at an </w:t>
      </w:r>
      <w:r w:rsidR="00FE1E2D" w:rsidRPr="003F3B0B">
        <w:t xml:space="preserve">oil and gas </w:t>
      </w:r>
      <w:r w:rsidR="00257001" w:rsidRPr="003F3B0B">
        <w:t>industrial conference.</w:t>
      </w:r>
      <w:r w:rsidR="00FE1E2D" w:rsidRPr="003F3B0B">
        <w:t xml:space="preserve"> Despite this, t</w:t>
      </w:r>
      <w:r w:rsidR="00FE1E2D" w:rsidRPr="003F3B0B" w:rsidDel="00FE1E2D">
        <w:t xml:space="preserve">he problem of fretting fatigue in flexible marine risers has </w:t>
      </w:r>
      <w:r w:rsidR="0006422F" w:rsidRPr="003F3B0B">
        <w:t>been the subject of limited research</w:t>
      </w:r>
      <w:r w:rsidR="00FE1E2D" w:rsidRPr="003F3B0B" w:rsidDel="00FE1E2D">
        <w:t xml:space="preserve">. </w:t>
      </w:r>
    </w:p>
    <w:p w14:paraId="2BC697A2" w14:textId="3C34631D" w:rsidR="00B3306F" w:rsidRPr="003F3B0B" w:rsidRDefault="009559D5" w:rsidP="00B3306F">
      <w:pPr>
        <w:rPr>
          <w:lang w:eastAsia="es-ES"/>
        </w:rPr>
      </w:pPr>
      <w:r w:rsidRPr="003F3B0B">
        <w:rPr>
          <w:lang w:eastAsia="es-ES"/>
        </w:rPr>
        <w:t>F</w:t>
      </w:r>
      <w:r w:rsidR="00B3306F" w:rsidRPr="003F3B0B">
        <w:rPr>
          <w:lang w:eastAsia="es-ES"/>
        </w:rPr>
        <w:t xml:space="preserve">lexible marine risers are </w:t>
      </w:r>
      <w:r w:rsidR="00FE1E2D" w:rsidRPr="003F3B0B">
        <w:rPr>
          <w:lang w:eastAsia="es-ES"/>
        </w:rPr>
        <w:t xml:space="preserve">vital infrastructure in the </w:t>
      </w:r>
      <w:r w:rsidR="0006422F" w:rsidRPr="003F3B0B">
        <w:rPr>
          <w:lang w:eastAsia="es-ES"/>
        </w:rPr>
        <w:t>transfer</w:t>
      </w:r>
      <w:r w:rsidR="00FE1E2D" w:rsidRPr="003F3B0B">
        <w:rPr>
          <w:lang w:eastAsia="es-ES"/>
        </w:rPr>
        <w:t xml:space="preserve"> of offshore oil and gas from well-heads at the seabed to a floating vessel or platform at sea level. The key engineering design of these </w:t>
      </w:r>
      <w:r w:rsidR="00B3306F" w:rsidRPr="003F3B0B">
        <w:rPr>
          <w:lang w:eastAsia="es-ES"/>
        </w:rPr>
        <w:t xml:space="preserve">risers </w:t>
      </w:r>
      <w:r w:rsidR="00EE32E0" w:rsidRPr="003F3B0B">
        <w:rPr>
          <w:lang w:eastAsia="es-ES"/>
        </w:rPr>
        <w:t xml:space="preserve">is the </w:t>
      </w:r>
      <w:r w:rsidR="00B3306F" w:rsidRPr="003F3B0B">
        <w:rPr>
          <w:lang w:eastAsia="es-ES"/>
        </w:rPr>
        <w:t>large number of layers (see</w:t>
      </w:r>
      <w:r w:rsidR="00A8032E" w:rsidRPr="003F3B0B">
        <w:rPr>
          <w:lang w:eastAsia="es-ES"/>
        </w:rPr>
        <w:t xml:space="preserve"> </w:t>
      </w:r>
      <w:r w:rsidR="00A8032E" w:rsidRPr="003F3B0B">
        <w:rPr>
          <w:lang w:eastAsia="es-ES"/>
        </w:rPr>
        <w:fldChar w:fldCharType="begin"/>
      </w:r>
      <w:r w:rsidR="00A8032E" w:rsidRPr="003F3B0B">
        <w:rPr>
          <w:lang w:eastAsia="es-ES"/>
        </w:rPr>
        <w:instrText xml:space="preserve"> REF _Ref11328097 \h </w:instrText>
      </w:r>
      <w:r w:rsidR="00A8032E" w:rsidRPr="003F3B0B">
        <w:rPr>
          <w:lang w:eastAsia="es-ES"/>
        </w:rPr>
      </w:r>
      <w:r w:rsidR="00A8032E" w:rsidRPr="003F3B0B">
        <w:rPr>
          <w:lang w:eastAsia="es-ES"/>
        </w:rPr>
        <w:fldChar w:fldCharType="separate"/>
      </w:r>
      <w:r w:rsidR="003D1AA2" w:rsidRPr="003F3B0B">
        <w:t xml:space="preserve">Figure </w:t>
      </w:r>
      <w:r w:rsidR="003D1AA2" w:rsidRPr="003F3B0B">
        <w:rPr>
          <w:noProof/>
        </w:rPr>
        <w:t>1</w:t>
      </w:r>
      <w:r w:rsidR="00A8032E" w:rsidRPr="003F3B0B">
        <w:rPr>
          <w:lang w:eastAsia="es-ES"/>
        </w:rPr>
        <w:fldChar w:fldCharType="end"/>
      </w:r>
      <w:r w:rsidR="00B3306F" w:rsidRPr="003F3B0B">
        <w:rPr>
          <w:lang w:eastAsia="es-ES"/>
        </w:rPr>
        <w:t xml:space="preserve">) </w:t>
      </w:r>
      <w:r w:rsidR="0006422F" w:rsidRPr="003F3B0B">
        <w:rPr>
          <w:lang w:eastAsia="es-ES"/>
        </w:rPr>
        <w:t>having distinct</w:t>
      </w:r>
      <w:r w:rsidR="00B3306F" w:rsidRPr="003F3B0B">
        <w:rPr>
          <w:lang w:eastAsia="es-ES"/>
        </w:rPr>
        <w:t xml:space="preserve"> functions</w:t>
      </w:r>
      <w:r w:rsidR="00EE32E0" w:rsidRPr="003F3B0B">
        <w:rPr>
          <w:lang w:eastAsia="es-ES"/>
        </w:rPr>
        <w:t>, giving flexibility and strength to withstand substantial sea-state loading conditions</w:t>
      </w:r>
      <w:r w:rsidR="00B3306F" w:rsidRPr="003F3B0B">
        <w:rPr>
          <w:lang w:eastAsia="es-ES"/>
        </w:rPr>
        <w:t xml:space="preserve">. </w:t>
      </w:r>
      <w:r w:rsidR="00E94F58" w:rsidRPr="003F3B0B">
        <w:rPr>
          <w:lang w:eastAsia="es-ES"/>
        </w:rPr>
        <w:t>D</w:t>
      </w:r>
      <w:r w:rsidR="00B3306F" w:rsidRPr="003F3B0B">
        <w:rPr>
          <w:lang w:eastAsia="es-ES"/>
        </w:rPr>
        <w:t xml:space="preserve">ue to the </w:t>
      </w:r>
      <w:r w:rsidR="00B3306F" w:rsidRPr="003F3B0B">
        <w:rPr>
          <w:lang w:eastAsia="es-ES"/>
        </w:rPr>
        <w:lastRenderedPageBreak/>
        <w:t xml:space="preserve">combination of extreme </w:t>
      </w:r>
      <w:r w:rsidR="0006422F" w:rsidRPr="003F3B0B">
        <w:rPr>
          <w:lang w:eastAsia="es-ES"/>
        </w:rPr>
        <w:t xml:space="preserve">sea-state </w:t>
      </w:r>
      <w:r w:rsidR="00B3306F" w:rsidRPr="003F3B0B">
        <w:rPr>
          <w:lang w:eastAsia="es-ES"/>
        </w:rPr>
        <w:t>global dynamic loading condi</w:t>
      </w:r>
      <w:r w:rsidRPr="003F3B0B">
        <w:rPr>
          <w:lang w:eastAsia="es-ES"/>
        </w:rPr>
        <w:t xml:space="preserve">tions and the local </w:t>
      </w:r>
      <w:r w:rsidR="00D16D43" w:rsidRPr="003F3B0B">
        <w:rPr>
          <w:lang w:eastAsia="es-ES"/>
        </w:rPr>
        <w:t xml:space="preserve">nub-groove </w:t>
      </w:r>
      <w:r w:rsidRPr="003F3B0B">
        <w:rPr>
          <w:lang w:eastAsia="es-ES"/>
        </w:rPr>
        <w:t xml:space="preserve">geometrical and </w:t>
      </w:r>
      <w:proofErr w:type="spellStart"/>
      <w:r w:rsidR="00B3306F" w:rsidRPr="003F3B0B">
        <w:rPr>
          <w:lang w:eastAsia="es-ES"/>
        </w:rPr>
        <w:t>tribological</w:t>
      </w:r>
      <w:proofErr w:type="spellEnd"/>
      <w:r w:rsidR="00B3306F" w:rsidRPr="003F3B0B">
        <w:rPr>
          <w:lang w:eastAsia="es-ES"/>
        </w:rPr>
        <w:t xml:space="preserve"> conditions </w:t>
      </w:r>
      <w:r w:rsidR="000F02FC" w:rsidRPr="003F3B0B">
        <w:rPr>
          <w:lang w:eastAsia="es-ES"/>
        </w:rPr>
        <w:t xml:space="preserve">(see </w:t>
      </w:r>
      <w:r w:rsidR="000F02FC" w:rsidRPr="003F3B0B">
        <w:rPr>
          <w:lang w:eastAsia="es-ES"/>
        </w:rPr>
        <w:fldChar w:fldCharType="begin"/>
      </w:r>
      <w:r w:rsidR="000F02FC" w:rsidRPr="003F3B0B">
        <w:rPr>
          <w:lang w:eastAsia="es-ES"/>
        </w:rPr>
        <w:instrText xml:space="preserve"> REF _Ref11328097 \h </w:instrText>
      </w:r>
      <w:r w:rsidR="000F02FC" w:rsidRPr="003F3B0B">
        <w:rPr>
          <w:lang w:eastAsia="es-ES"/>
        </w:rPr>
      </w:r>
      <w:r w:rsidR="000F02FC" w:rsidRPr="003F3B0B">
        <w:rPr>
          <w:lang w:eastAsia="es-ES"/>
        </w:rPr>
        <w:fldChar w:fldCharType="separate"/>
      </w:r>
      <w:r w:rsidR="003D1AA2" w:rsidRPr="003F3B0B">
        <w:t xml:space="preserve">Figure </w:t>
      </w:r>
      <w:r w:rsidR="003D1AA2" w:rsidRPr="003F3B0B">
        <w:rPr>
          <w:noProof/>
        </w:rPr>
        <w:t>1</w:t>
      </w:r>
      <w:r w:rsidR="000F02FC" w:rsidRPr="003F3B0B">
        <w:rPr>
          <w:lang w:eastAsia="es-ES"/>
        </w:rPr>
        <w:fldChar w:fldCharType="end"/>
      </w:r>
      <w:r w:rsidR="000F02FC" w:rsidRPr="003F3B0B">
        <w:rPr>
          <w:lang w:eastAsia="es-ES"/>
        </w:rPr>
        <w:t>)</w:t>
      </w:r>
      <w:r w:rsidR="00E94F58" w:rsidRPr="003F3B0B">
        <w:rPr>
          <w:lang w:eastAsia="es-ES"/>
        </w:rPr>
        <w:t>, fretting is a design concern for the pressure armour layer</w:t>
      </w:r>
      <w:r w:rsidR="00B3306F" w:rsidRPr="003F3B0B">
        <w:rPr>
          <w:lang w:eastAsia="es-ES"/>
        </w:rPr>
        <w:t>. The pr</w:t>
      </w:r>
      <w:r w:rsidR="0006422F" w:rsidRPr="003F3B0B">
        <w:rPr>
          <w:lang w:eastAsia="es-ES"/>
        </w:rPr>
        <w:t>incipal</w:t>
      </w:r>
      <w:r w:rsidR="00B3306F" w:rsidRPr="003F3B0B">
        <w:rPr>
          <w:lang w:eastAsia="es-ES"/>
        </w:rPr>
        <w:t xml:space="preserve"> function of this interlocked metallic layer is to contain internal pressure by resisting hoop stresses. </w:t>
      </w:r>
      <w:r w:rsidR="00E312DA" w:rsidRPr="003F3B0B">
        <w:t xml:space="preserve">In the case of pressure armour layers, the normal load is primarily due to internal and external fluid pressures (hydrocarbon and hydrostatic) and the tangential load (displacement) is due to bending moment, axial load, torque or a combination of all three, due to vessel motions, wave and current effects on the riser deformation. </w:t>
      </w:r>
      <w:r w:rsidR="00B3306F" w:rsidRPr="003F3B0B">
        <w:rPr>
          <w:lang w:eastAsia="es-ES"/>
        </w:rPr>
        <w:t xml:space="preserve">Fretting wear and fatigue can cause local cracking and damage of the pressure armour layer, </w:t>
      </w:r>
      <w:r w:rsidR="0006422F" w:rsidRPr="003F3B0B">
        <w:rPr>
          <w:lang w:eastAsia="es-ES"/>
        </w:rPr>
        <w:t>resulting in reduced</w:t>
      </w:r>
      <w:r w:rsidR="00B3306F" w:rsidRPr="003F3B0B">
        <w:rPr>
          <w:lang w:eastAsia="es-ES"/>
        </w:rPr>
        <w:t xml:space="preserve"> service life of the riser. However, the relationship between global riser loading conditions, such as internal and external pipe pressure, vessel motions, wave and current loads, and local nub-groove fretting conditions, such as contact pressure and contact slip</w:t>
      </w:r>
      <w:r w:rsidR="00D92FD4" w:rsidRPr="003F3B0B">
        <w:rPr>
          <w:lang w:eastAsia="es-ES"/>
        </w:rPr>
        <w:t>,</w:t>
      </w:r>
      <w:r w:rsidR="00B3306F" w:rsidRPr="003F3B0B">
        <w:rPr>
          <w:lang w:eastAsia="es-ES"/>
        </w:rPr>
        <w:t xml:space="preserve"> is unknown.</w:t>
      </w:r>
      <w:r w:rsidR="002F5146" w:rsidRPr="003F3B0B">
        <w:rPr>
          <w:lang w:eastAsia="es-ES"/>
        </w:rPr>
        <w:t xml:space="preserve"> </w:t>
      </w:r>
      <w:proofErr w:type="spellStart"/>
      <w:r w:rsidR="002F5146" w:rsidRPr="003F3B0B" w:rsidDel="00E312DA">
        <w:t>Perera</w:t>
      </w:r>
      <w:proofErr w:type="spellEnd"/>
      <w:r w:rsidR="002F5146" w:rsidRPr="003F3B0B" w:rsidDel="00E312DA">
        <w:t xml:space="preserve"> et al. </w:t>
      </w:r>
      <w:r w:rsidR="002F5146" w:rsidRPr="003F3B0B" w:rsidDel="00E312DA">
        <w:fldChar w:fldCharType="begin" w:fldLock="1"/>
      </w:r>
      <w:r w:rsidR="00EF5D3F" w:rsidRPr="003F3B0B">
        <w:instrText>ADDIN CSL_CITATION { "citationItems" : [ { "id" : "ITEM-1", "itemData" : { "DOI" : "10.1115/OMAE2007-29393", "ISBN" : "0-7918-4269-X", "author" : [ { "dropping-particle" : "", "family" : "Perera", "given" : "S. D. Rasika", "non-dropping-particle" : "", "parse-names" : false, "suffix" : "" }, { "dropping-particle" : "", "family" : "Fernando", "given" : "Upul S.", "non-dropping-particle" : "", "parse-names" : false, "suffix" : "" }, { "dropping-particle" : "", "family" : "Sheldrake", "given" : "Terry", "non-dropping-particle" : "", "parse-names" : false, "suffix" : "" }, { "dropping-particle" : "", "family" : "Clements", "given" : "Richard", "non-dropping-particle" : "", "parse-names" : false, "suffix" : "" } ], "container-title" : "Volume 3: Pipeline and Riser Technology; CFD and VIV", "genre" : "Conference Proceedings", "id" : "ITEM-1", "issued" : { "date-parts" : [ [ "2007" ] ] }, "page" : "363-370", "publisher-place" : "San Diego, California, USA", "title" : "An investigation into fretting behaviour in pressure armor wires of unbonded flexible pipes", "type" : "paper-conference", "volume" : "3" }, "uris" : [ "http://www.mendeley.com/documents/?uuid=922e99ab-285c-4b09-b18f-d19d54b5a2ea" ] } ], "mendeley" : { "formattedCitation" : "[19]", "plainTextFormattedCitation" : "[19]", "previouslyFormattedCitation" : "[19]" }, "properties" : { "noteIndex" : 3 }, "schema" : "https://github.com/citation-style-language/schema/raw/master/csl-citation.json" }</w:instrText>
      </w:r>
      <w:r w:rsidR="002F5146" w:rsidRPr="003F3B0B" w:rsidDel="00E312DA">
        <w:fldChar w:fldCharType="separate"/>
      </w:r>
      <w:r w:rsidR="00EF5D3F" w:rsidRPr="003F3B0B">
        <w:rPr>
          <w:noProof/>
        </w:rPr>
        <w:t>[19]</w:t>
      </w:r>
      <w:r w:rsidR="002F5146" w:rsidRPr="003F3B0B" w:rsidDel="00E312DA">
        <w:fldChar w:fldCharType="end"/>
      </w:r>
      <w:r w:rsidR="002F5146" w:rsidRPr="003F3B0B" w:rsidDel="00E312DA">
        <w:t xml:space="preserve"> presented </w:t>
      </w:r>
      <w:r w:rsidR="0063122D" w:rsidRPr="003F3B0B">
        <w:t xml:space="preserve">a novel experimental setup for the fretting testing of the nub-groove contact </w:t>
      </w:r>
      <w:r w:rsidR="002F5146" w:rsidRPr="003F3B0B" w:rsidDel="00E312DA">
        <w:t xml:space="preserve">of the pressure armour layer of </w:t>
      </w:r>
      <w:proofErr w:type="spellStart"/>
      <w:r w:rsidR="002F5146" w:rsidRPr="003F3B0B" w:rsidDel="00E312DA">
        <w:t>unbonded</w:t>
      </w:r>
      <w:proofErr w:type="spellEnd"/>
      <w:r w:rsidR="002F5146" w:rsidRPr="003F3B0B" w:rsidDel="00E312DA">
        <w:t xml:space="preserve"> flexible pipes</w:t>
      </w:r>
      <w:r w:rsidR="0063122D" w:rsidRPr="003F3B0B">
        <w:t xml:space="preserve"> under representative loading conditions</w:t>
      </w:r>
      <w:r w:rsidR="002F5146" w:rsidRPr="003F3B0B" w:rsidDel="00E312DA">
        <w:t>.</w:t>
      </w:r>
      <w:r w:rsidR="00B3306F" w:rsidRPr="003F3B0B">
        <w:rPr>
          <w:lang w:eastAsia="es-ES"/>
        </w:rPr>
        <w:t xml:space="preserve"> </w:t>
      </w:r>
      <w:proofErr w:type="spellStart"/>
      <w:r w:rsidR="00E312DA" w:rsidRPr="003F3B0B">
        <w:t>Féret</w:t>
      </w:r>
      <w:proofErr w:type="spellEnd"/>
      <w:r w:rsidR="00E312DA" w:rsidRPr="003F3B0B">
        <w:t xml:space="preserve"> and </w:t>
      </w:r>
      <w:proofErr w:type="spellStart"/>
      <w:r w:rsidR="00E312DA" w:rsidRPr="003F3B0B">
        <w:t>Bournazel</w:t>
      </w:r>
      <w:proofErr w:type="spellEnd"/>
      <w:r w:rsidR="00E312DA" w:rsidRPr="003F3B0B">
        <w:t xml:space="preserve"> </w:t>
      </w:r>
      <w:r w:rsidR="00E312DA" w:rsidRPr="003F3B0B">
        <w:fldChar w:fldCharType="begin" w:fldLock="1"/>
      </w:r>
      <w:r w:rsidR="00EF5D3F" w:rsidRPr="003F3B0B">
        <w:instrText>ADDIN CSL_CITATION { "citationItems" : [ { "id" : "ITEM-1", "itemData" : { "DOI" : "10.1115/1.3257019", "ISSN" : "08927219", "PMID" : "8927219", "author" : [ { "dropping-particle" : "", "family" : "Fe\u0301ret", "given" : "J. J.", "non-dropping-particle" : "", "parse-names" : false, "suffix" : "" }, { "dropping-particle" : "", "family" : "Bournazel", "given" : "C. L.", "non-dropping-particle" : "", "parse-names" : false, "suffix" : "" } ], "container-title" : "Journal of Offshore Mechanics and Arctic Engineering", "genre" : "Journal Article", "id" : "ITEM-1", "issue" : "3", "issued" : { "date-parts" : [ [ "1987" ] ] }, "page" : "263", "title" : "Calculation of stresses and slip in structural layers of unbonded flexible pipes", "type" : "article-journal", "volume" : "109" }, "uris" : [ "http://www.mendeley.com/documents/?uuid=05f8fe84-be37-47ef-bc89-8c9ffea41cba" ] } ], "mendeley" : { "formattedCitation" : "[20]", "plainTextFormattedCitation" : "[20]", "previouslyFormattedCitation" : "[20]" }, "properties" : { "noteIndex" : 2 }, "schema" : "https://github.com/citation-style-language/schema/raw/master/csl-citation.json" }</w:instrText>
      </w:r>
      <w:r w:rsidR="00E312DA" w:rsidRPr="003F3B0B">
        <w:fldChar w:fldCharType="separate"/>
      </w:r>
      <w:r w:rsidR="00EF5D3F" w:rsidRPr="003F3B0B">
        <w:rPr>
          <w:noProof/>
        </w:rPr>
        <w:t>[20]</w:t>
      </w:r>
      <w:r w:rsidR="00E312DA" w:rsidRPr="003F3B0B">
        <w:fldChar w:fldCharType="end"/>
      </w:r>
      <w:r w:rsidR="0063122D" w:rsidRPr="003F3B0B">
        <w:t xml:space="preserve"> examined the behaviour of flexible risers under axisymmetric loading and presented </w:t>
      </w:r>
      <w:r w:rsidR="0006422F" w:rsidRPr="003F3B0B">
        <w:t xml:space="preserve">an analytical solution for the </w:t>
      </w:r>
      <w:r w:rsidR="00E312DA" w:rsidRPr="003F3B0B">
        <w:t>stresses, contact pressures and slip between tensile armour</w:t>
      </w:r>
      <w:r w:rsidR="00F111EB" w:rsidRPr="003F3B0B">
        <w:t xml:space="preserve"> wires</w:t>
      </w:r>
      <w:r w:rsidR="00E312DA" w:rsidRPr="003F3B0B">
        <w:t>;</w:t>
      </w:r>
      <w:r w:rsidR="00F111EB" w:rsidRPr="003F3B0B">
        <w:t xml:space="preserve"> these parameters are key to the evaluation of fatigue and wear of the tensile armour wires.</w:t>
      </w:r>
      <w:r w:rsidR="00E312DA" w:rsidRPr="003F3B0B">
        <w:t xml:space="preserve"> </w:t>
      </w:r>
      <w:r w:rsidR="00F111EB" w:rsidRPr="003F3B0B">
        <w:t>H</w:t>
      </w:r>
      <w:r w:rsidR="00E312DA" w:rsidRPr="003F3B0B">
        <w:t>owever</w:t>
      </w:r>
      <w:r w:rsidR="005F3E37" w:rsidRPr="003F3B0B">
        <w:t>,</w:t>
      </w:r>
      <w:r w:rsidR="00E312DA" w:rsidRPr="003F3B0B">
        <w:t xml:space="preserve"> this approach is not applicable to the pressure armour layer. </w:t>
      </w:r>
      <w:r w:rsidR="00E312DA" w:rsidRPr="003F3B0B">
        <w:rPr>
          <w:lang w:eastAsia="es-ES"/>
        </w:rPr>
        <w:t>I</w:t>
      </w:r>
      <w:r w:rsidR="00B3306F" w:rsidRPr="003F3B0B">
        <w:rPr>
          <w:lang w:eastAsia="es-ES"/>
        </w:rPr>
        <w:t xml:space="preserve">n this work, a step is taken towards quantifying this relationship by developing a global-local fretting methodology for risers and applying it to realistic riser configurations and sea state loading conditions. </w:t>
      </w:r>
    </w:p>
    <w:p w14:paraId="7CB3E0CA" w14:textId="376D987A" w:rsidR="00B3306F" w:rsidRPr="003F3B0B" w:rsidRDefault="00B3306F" w:rsidP="00B3306F">
      <w:pPr>
        <w:rPr>
          <w:lang w:eastAsia="es-ES"/>
        </w:rPr>
      </w:pPr>
      <w:r w:rsidRPr="003F3B0B">
        <w:rPr>
          <w:lang w:eastAsia="es-ES"/>
        </w:rPr>
        <w:t xml:space="preserve">Previous work by the authors has </w:t>
      </w:r>
      <w:r w:rsidR="00F111EB" w:rsidRPr="003F3B0B">
        <w:rPr>
          <w:lang w:eastAsia="es-ES"/>
        </w:rPr>
        <w:t xml:space="preserve">experimentally characterised the </w:t>
      </w:r>
      <w:r w:rsidR="00A80B05" w:rsidRPr="003F3B0B">
        <w:rPr>
          <w:lang w:eastAsia="es-ES"/>
        </w:rPr>
        <w:t xml:space="preserve">coefficient of </w:t>
      </w:r>
      <w:r w:rsidRPr="003F3B0B">
        <w:rPr>
          <w:lang w:eastAsia="es-ES"/>
        </w:rPr>
        <w:t>friction</w:t>
      </w:r>
      <w:r w:rsidR="00F111EB" w:rsidRPr="003F3B0B">
        <w:rPr>
          <w:lang w:eastAsia="es-ES"/>
        </w:rPr>
        <w:t xml:space="preserve"> and wear coefficient of pressure armour material</w:t>
      </w:r>
      <w:r w:rsidR="00E00BCA" w:rsidRPr="003F3B0B">
        <w:rPr>
          <w:lang w:eastAsia="es-ES"/>
        </w:rPr>
        <w:t xml:space="preserve"> </w:t>
      </w:r>
      <w:r w:rsidR="00E00BCA" w:rsidRPr="003F3B0B">
        <w:rPr>
          <w:lang w:eastAsia="es-ES"/>
        </w:rPr>
        <w:fldChar w:fldCharType="begin" w:fldLock="1"/>
      </w:r>
      <w:r w:rsidR="00EF5D3F" w:rsidRPr="003F3B0B">
        <w:rPr>
          <w:lang w:eastAsia="es-ES"/>
        </w:rPr>
        <w:instrText>ADDIN CSL_CITATION { "citationItems" : [ { "id" : "ITEM-1", "itemData" : { "DOI" : "10.1016/J.TRIBOINT.2017.07.032", "ISSN" : "0301-679X", "abstract" : "This paper presents an experimental investigation into the effects of contact conformity, contact pressure and displacement amplitude on gross-slip fretting behaviour for grease-lubricated cylinder-on-flat contacts in the context of flexible marine riser pressure armour wire, and compares behaviour with that observed in unlubricated conditions. Characterisation of friction and wear is critical to fretting fatigue life prediction in flexible risers since friction directly controls trailing-edge fretting stresses and hence fatigue crack initiation, on the one hand, and on the other hand, directly affects wear via relative tangential slip (displacement). Wear can have a beneficial or detrimental effect on fatigue crack initiation and propagation, depending on relative slip and slip regime. For the grease-lubricated conditions, the behaviour is determined by whether grease can be retained in the contact (as opposed to being extruded out). Retention (or replenishment) of grease in the contact results in low rates of wear and low coefficients of friction; these conditions are favoured by fretting displacements above a critical value, by low contact conformity, and by low applied loads.", "author" : [ { "dropping-particle" : "", "family" : "O'Halloran", "given" : "S.M.", "non-dropping-particle" : "", "parse-names" : false, "suffix" : "" }, { "dropping-particle" : "", "family" : "Harte", "given" : "A.M.", "non-dropping-particle" : "", "parse-names" : false, "suffix" : "" }, { "dropping-particle" : "", "family" : "Shipway", "given" : "P.H.", "non-dropping-particle" : "", "parse-names" : false, "suffix" : "" }, { "dropping-particle" : "", "family" : "Leen", "given" : "S.B.", "non-dropping-particle" : "", "parse-names" : false, "suffix" : "" } ], "container-title" : "Tribology International", "id" : "ITEM-1", "issued" : { "date-parts" : [ [ "2018", "1" ] ] }, "page" : "141-151", "publisher" : "Elsevier", "title" : "An experimental study on the key fretting variables for flexible marine risers", "type" : "article-journal", "volume" : "117" }, "uris" : [ "http://www.mendeley.com/documents/?uuid=80f2b63a-12ce-4eac-859b-573b666a402f" ] } ], "mendeley" : { "formattedCitation" : "[21]", "plainTextFormattedCitation" : "[21]", "previouslyFormattedCitation" : "[21]" }, "properties" : { "noteIndex" : 3 }, "schema" : "https://github.com/citation-style-language/schema/raw/master/csl-citation.json" }</w:instrText>
      </w:r>
      <w:r w:rsidR="00E00BCA" w:rsidRPr="003F3B0B">
        <w:rPr>
          <w:lang w:eastAsia="es-ES"/>
        </w:rPr>
        <w:fldChar w:fldCharType="separate"/>
      </w:r>
      <w:r w:rsidR="00EF5D3F" w:rsidRPr="003F3B0B">
        <w:rPr>
          <w:noProof/>
          <w:lang w:eastAsia="es-ES"/>
        </w:rPr>
        <w:t>[21]</w:t>
      </w:r>
      <w:r w:rsidR="00E00BCA" w:rsidRPr="003F3B0B">
        <w:rPr>
          <w:lang w:eastAsia="es-ES"/>
        </w:rPr>
        <w:fldChar w:fldCharType="end"/>
      </w:r>
      <w:r w:rsidR="00F111EB" w:rsidRPr="003F3B0B">
        <w:rPr>
          <w:lang w:eastAsia="es-ES"/>
        </w:rPr>
        <w:t xml:space="preserve">; it has also been shown computationally that the coefficient of friction can </w:t>
      </w:r>
      <w:r w:rsidR="00D92FD4" w:rsidRPr="003F3B0B">
        <w:rPr>
          <w:lang w:eastAsia="es-ES"/>
        </w:rPr>
        <w:t>a</w:t>
      </w:r>
      <w:r w:rsidR="00F111EB" w:rsidRPr="003F3B0B">
        <w:rPr>
          <w:lang w:eastAsia="es-ES"/>
        </w:rPr>
        <w:t xml:space="preserve">ffect fretting crack initiation in risers due to </w:t>
      </w:r>
      <w:r w:rsidRPr="003F3B0B">
        <w:rPr>
          <w:lang w:eastAsia="es-ES"/>
        </w:rPr>
        <w:t xml:space="preserve">trailing-edge tensile stresses in the nub-groove contact of </w:t>
      </w:r>
      <w:r w:rsidR="0006422F" w:rsidRPr="003F3B0B">
        <w:rPr>
          <w:lang w:eastAsia="es-ES"/>
        </w:rPr>
        <w:t xml:space="preserve">the </w:t>
      </w:r>
      <w:r w:rsidRPr="003F3B0B">
        <w:rPr>
          <w:lang w:eastAsia="es-ES"/>
        </w:rPr>
        <w:t>pressure armour layer</w:t>
      </w:r>
      <w:r w:rsidR="00E00BCA" w:rsidRPr="003F3B0B">
        <w:rPr>
          <w:lang w:eastAsia="es-ES"/>
        </w:rPr>
        <w:t xml:space="preserve"> </w:t>
      </w:r>
      <w:r w:rsidR="00E00BCA" w:rsidRPr="003F3B0B">
        <w:rPr>
          <w:lang w:eastAsia="es-ES"/>
        </w:rPr>
        <w:fldChar w:fldCharType="begin" w:fldLock="1"/>
      </w:r>
      <w:r w:rsidR="00EF5D3F" w:rsidRPr="003F3B0B">
        <w:rPr>
          <w:lang w:eastAsia="es-ES"/>
        </w:rPr>
        <w:instrText>ADDIN CSL_CITATION { "citationItems" : [ { "id" : "ITEM-1", "itemData" : { "DOI" : "10.1016/j.triboint.2016.02.040", "ISSN" : "0301679X", "abstract" : "This paper presents a computational methodology for frictional contact mechanics of the pressure armour layer in flexible risers. This will allow, for the first time, quantification of key fretting variables, such as contact pressure, relative slip and sub-surface stresses in this complex geometry, under representative loading conditions. Fatigue lives are calculated using the 3-dimensional critical plane Smith\u2013Watson\u2013Topper multiaxial fatigue parameter. It is shown that COF has a significant effect on predicted trailing-edge tensile stresses in the pressure armour layer and, hence on fretting crack initiation in risers. It is also shown that operating pressure and bending-induced axial displacement significantly affect predicted crack initiation. These results will facilitate representative fretting wear and fretting fatigue testing of pressure armour layer material.", "author" : [ { "dropping-particle" : "", "family" : "O\u2019Halloran", "given" : "S.M.", "non-dropping-particle" : "", "parse-names" : false, "suffix" : "" }, { "dropping-particle" : "", "family" : "Harte", "given" : "A.M.", "non-dropping-particle" : "", "parse-names" : false, "suffix" : "" }, { "dropping-particle" : "", "family" : "Connaire", "given" : "A.D.", "non-dropping-particle" : "", "parse-names" : false, "suffix" : "" }, { "dropping-particle" : "", "family" : "Leen", "given" : "S.B.", "non-dropping-particle" : "", "parse-names" : false, "suffix" : "" } ], "container-title" : "Tribology International", "id" : "ITEM-1", "issued" : { "date-parts" : [ [ "2016", "3" ] ] }, "page" : "306-316", "title" : "Modelling of fretting in the pressure armour layer of flexible marine risers", "type" : "article-journal", "volume" : "100" }, "uris" : [ "http://www.mendeley.com/documents/?uuid=b80948ad-fca6-4929-8343-b20fd51894bb" ] } ], "mendeley" : { "formattedCitation" : "[22]", "plainTextFormattedCitation" : "[22]", "previouslyFormattedCitation" : "[22]" }, "properties" : { "noteIndex" : 3 }, "schema" : "https://github.com/citation-style-language/schema/raw/master/csl-citation.json" }</w:instrText>
      </w:r>
      <w:r w:rsidR="00E00BCA" w:rsidRPr="003F3B0B">
        <w:rPr>
          <w:lang w:eastAsia="es-ES"/>
        </w:rPr>
        <w:fldChar w:fldCharType="separate"/>
      </w:r>
      <w:r w:rsidR="00EF5D3F" w:rsidRPr="003F3B0B">
        <w:rPr>
          <w:noProof/>
          <w:lang w:eastAsia="es-ES"/>
        </w:rPr>
        <w:t>[22]</w:t>
      </w:r>
      <w:r w:rsidR="00E00BCA" w:rsidRPr="003F3B0B">
        <w:rPr>
          <w:lang w:eastAsia="es-ES"/>
        </w:rPr>
        <w:fldChar w:fldCharType="end"/>
      </w:r>
      <w:r w:rsidRPr="003F3B0B">
        <w:rPr>
          <w:lang w:eastAsia="es-ES"/>
        </w:rPr>
        <w:t xml:space="preserve">. </w:t>
      </w:r>
      <w:r w:rsidR="00E00BCA" w:rsidRPr="003F3B0B">
        <w:rPr>
          <w:lang w:eastAsia="es-ES"/>
        </w:rPr>
        <w:t xml:space="preserve">Furthermore, a wear-fatigue model was developed </w:t>
      </w:r>
      <w:r w:rsidR="0006422F" w:rsidRPr="003F3B0B">
        <w:rPr>
          <w:lang w:eastAsia="es-ES"/>
        </w:rPr>
        <w:t>in which</w:t>
      </w:r>
      <w:r w:rsidR="00E00BCA" w:rsidRPr="003F3B0B">
        <w:rPr>
          <w:lang w:eastAsia="es-ES"/>
        </w:rPr>
        <w:t xml:space="preserve"> an adaptive meshing technique </w:t>
      </w:r>
      <w:r w:rsidR="0006422F" w:rsidRPr="003F3B0B">
        <w:rPr>
          <w:lang w:eastAsia="es-ES"/>
        </w:rPr>
        <w:t xml:space="preserve">was used </w:t>
      </w:r>
      <w:r w:rsidR="00E00BCA" w:rsidRPr="003F3B0B">
        <w:rPr>
          <w:lang w:eastAsia="es-ES"/>
        </w:rPr>
        <w:t xml:space="preserve">to </w:t>
      </w:r>
      <w:r w:rsidR="00E00BCA" w:rsidRPr="003F3B0B">
        <w:rPr>
          <w:lang w:eastAsia="es-ES"/>
        </w:rPr>
        <w:lastRenderedPageBreak/>
        <w:t xml:space="preserve">characterise the </w:t>
      </w:r>
      <w:r w:rsidR="0006422F" w:rsidRPr="003F3B0B">
        <w:rPr>
          <w:lang w:eastAsia="es-ES"/>
        </w:rPr>
        <w:t>influence</w:t>
      </w:r>
      <w:r w:rsidR="00E00BCA" w:rsidRPr="003F3B0B">
        <w:rPr>
          <w:lang w:eastAsia="es-ES"/>
        </w:rPr>
        <w:t xml:space="preserve"> of nub-groove displacement on fretting fatigue life of the pressure armour layer </w:t>
      </w:r>
      <w:r w:rsidR="00E00BCA" w:rsidRPr="003F3B0B">
        <w:rPr>
          <w:lang w:eastAsia="es-ES"/>
        </w:rPr>
        <w:fldChar w:fldCharType="begin" w:fldLock="1"/>
      </w:r>
      <w:r w:rsidR="00EF5D3F" w:rsidRPr="003F3B0B">
        <w:rPr>
          <w:lang w:eastAsia="es-ES"/>
        </w:rPr>
        <w:instrText>ADDIN CSL_CITATION { "citationItems" : [ { "id" : "ITEM-1", "itemData" : { "DOI" : "10.1016/J.TRIBOINT.2016.10.020", "ISSN" : "0301-679X", "abstract" : "This paper presents a combined experimental and computational methodology for fretting wear-fatigue prediction of pressure armour wire in flexible marine risers. Fretting wear, friction and fatigue parameters of pressure armour material have been characterised experimentally. A combined fretting wear-fatigue finite element model has been developed using an adaptive meshing technique and the effect of bending-induced tangential slip has been characterised. It has been shown that a surface damage parameter combined with a multiaxial fatigue parameter can accurately predict the beneficial effect of fretting wear on fatigue predictions. This provides a computationally efficient design tool for fretting in the pressure armour layer of flexible marine risers.", "author" : [ { "dropping-particle" : "", "family" : "O\u2019Halloran", "given" : "S.M.", "non-dropping-particle" : "", "parse-names" : false, "suffix" : "" }, { "dropping-particle" : "", "family" : "Shipway", "given" : "P.H.", "non-dropping-particle" : "", "parse-names" : false, "suffix" : "" }, { "dropping-particle" : "", "family" : "Connaire", "given" : "A.D.", "non-dropping-particle" : "", "parse-names" : false, "suffix" : "" }, { "dropping-particle" : "", "family" : "Leen", "given" : "S.B.", "non-dropping-particle" : "", "parse-names" : false, "suffix" : "" }, { "dropping-particle" : "", "family" : "Harte", "given" : "A.M.", "non-dropping-particle" : "", "parse-names" : false, "suffix" : "" } ], "container-title" : "Tribology International", "id" : "ITEM-1", "issued" : { "date-parts" : [ [ "2017", "4" ] ] }, "page" : "7-15", "publisher" : "Elsevier", "title" : "A combined wear-fatigue design methodology for fretting in the pressure armour layer of flexible marine risers", "type" : "article-journal", "volume" : "108" }, "uris" : [ "http://www.mendeley.com/documents/?uuid=185157f9-3db6-4b4e-b1c3-f959292fae47" ] } ], "mendeley" : { "formattedCitation" : "[23]", "plainTextFormattedCitation" : "[23]", "previouslyFormattedCitation" : "[23]" }, "properties" : { "noteIndex" : 3 }, "schema" : "https://github.com/citation-style-language/schema/raw/master/csl-citation.json" }</w:instrText>
      </w:r>
      <w:r w:rsidR="00E00BCA" w:rsidRPr="003F3B0B">
        <w:rPr>
          <w:lang w:eastAsia="es-ES"/>
        </w:rPr>
        <w:fldChar w:fldCharType="separate"/>
      </w:r>
      <w:r w:rsidR="00EF5D3F" w:rsidRPr="003F3B0B">
        <w:rPr>
          <w:noProof/>
          <w:lang w:eastAsia="es-ES"/>
        </w:rPr>
        <w:t>[23]</w:t>
      </w:r>
      <w:r w:rsidR="00E00BCA" w:rsidRPr="003F3B0B">
        <w:rPr>
          <w:lang w:eastAsia="es-ES"/>
        </w:rPr>
        <w:fldChar w:fldCharType="end"/>
      </w:r>
      <w:r w:rsidR="00E00BCA" w:rsidRPr="003F3B0B">
        <w:rPr>
          <w:lang w:eastAsia="es-ES"/>
        </w:rPr>
        <w:t>.</w:t>
      </w:r>
      <w:r w:rsidRPr="003F3B0B">
        <w:rPr>
          <w:lang w:eastAsia="es-ES"/>
        </w:rPr>
        <w:t xml:space="preserve"> It </w:t>
      </w:r>
      <w:r w:rsidR="00D16D43" w:rsidRPr="003F3B0B">
        <w:rPr>
          <w:lang w:eastAsia="es-ES"/>
        </w:rPr>
        <w:t>was</w:t>
      </w:r>
      <w:r w:rsidRPr="003F3B0B">
        <w:rPr>
          <w:lang w:eastAsia="es-ES"/>
        </w:rPr>
        <w:t xml:space="preserve"> shown that nub-groove contact pressure and bending-induced axial displacement significantly affect predicted crack initiation. It has also </w:t>
      </w:r>
      <w:r w:rsidR="00A80B05" w:rsidRPr="003F3B0B">
        <w:rPr>
          <w:lang w:eastAsia="es-ES"/>
        </w:rPr>
        <w:t xml:space="preserve">been </w:t>
      </w:r>
      <w:r w:rsidRPr="003F3B0B">
        <w:rPr>
          <w:lang w:eastAsia="es-ES"/>
        </w:rPr>
        <w:t>shown that a surface damage parameter</w:t>
      </w:r>
      <w:r w:rsidR="00E00BCA" w:rsidRPr="003F3B0B">
        <w:rPr>
          <w:lang w:eastAsia="es-ES"/>
        </w:rPr>
        <w:t xml:space="preserve">, developed by Ding et al. </w:t>
      </w:r>
      <w:r w:rsidR="00E00BCA" w:rsidRPr="003F3B0B">
        <w:rPr>
          <w:lang w:eastAsia="es-ES"/>
        </w:rPr>
        <w:fldChar w:fldCharType="begin" w:fldLock="1"/>
      </w:r>
      <w:r w:rsidR="00EF5D3F" w:rsidRPr="003F3B0B">
        <w:rPr>
          <w:lang w:eastAsia="es-ES"/>
        </w:rPr>
        <w:instrText>ADDIN CSL_CITATION { "citationItems" : [ { "id" : "ITEM-1", "itemData" : { "DOI" : "10.1016/j.ijfatigue.2010.09.008", "ISBN" : "0142-1123", "ISSN" : "01421123", "abstract" : "This paper presents two empirical parameters for the prediction of fretting. The first is a simple parameter, Dfret1, which is shown to correlate test data against fretting fatigue life in terms of the so-called running conditions of contact displacement and normal load. The second, more complex, parameter is shown to have the ability to capture: (i) the effect of relative slip on fretting fatigue life and (ii) a well-known fretting fatigue contact size effect in a more rational framework. This parameter combines a multiaxial fatigue parameter, the constants for which can be obtained from plain-fatigue testing, and a surface damage parameter Dfret2, which represents the surface damaging effect of fretting, the tribological constants for which can be obtained from fretting wear and fretting fatigue test data. A key benefit of Dfret2 is that it circumvents time-consuming incremental wear simulations.", "author" : [ { "dropping-particle" : "", "family" : "Ding", "given" : "J.", "non-dropping-particle" : "", "parse-names" : false, "suffix" : "" }, { "dropping-particle" : "", "family" : "Houghton", "given" : "D.", "non-dropping-particle" : "", "parse-names" : false, "suffix" : "" }, { "dropping-particle" : "", "family" : "Williams", "given" : "E.J.", "non-dropping-particle" : "", "parse-names" : false, "suffix" : "" }, { "dropping-particle" : "", "family" : "Leen", "given" : "S.B.", "non-dropping-particle" : "", "parse-names" : false, "suffix" : "" } ], "container-title" : "International Journal of Fatigue", "id" : "ITEM-1", "issue" : "3", "issued" : { "date-parts" : [ [ "2011" ] ] }, "page" : "332-342", "publisher" : "Elsevier Ltd", "title" : "Simple parameters to predict effect of surface damage on fretting fatigue", "type" : "article-journal", "volume" : "33" }, "uris" : [ "http://www.mendeley.com/documents/?uuid=14cf07f5-3bdc-4edb-a51a-50307b7e1ae5" ] } ], "mendeley" : { "formattedCitation" : "[24]", "plainTextFormattedCitation" : "[24]", "previouslyFormattedCitation" : "[24]" }, "properties" : { "noteIndex" : 4 }, "schema" : "https://github.com/citation-style-language/schema/raw/master/csl-citation.json" }</w:instrText>
      </w:r>
      <w:r w:rsidR="00E00BCA" w:rsidRPr="003F3B0B">
        <w:rPr>
          <w:lang w:eastAsia="es-ES"/>
        </w:rPr>
        <w:fldChar w:fldCharType="separate"/>
      </w:r>
      <w:r w:rsidR="00EF5D3F" w:rsidRPr="003F3B0B">
        <w:rPr>
          <w:noProof/>
          <w:lang w:eastAsia="es-ES"/>
        </w:rPr>
        <w:t>[24]</w:t>
      </w:r>
      <w:r w:rsidR="00E00BCA" w:rsidRPr="003F3B0B">
        <w:rPr>
          <w:lang w:eastAsia="es-ES"/>
        </w:rPr>
        <w:fldChar w:fldCharType="end"/>
      </w:r>
      <w:r w:rsidR="00E00BCA" w:rsidRPr="003F3B0B">
        <w:rPr>
          <w:lang w:eastAsia="es-ES"/>
        </w:rPr>
        <w:t>,</w:t>
      </w:r>
      <w:r w:rsidRPr="003F3B0B">
        <w:rPr>
          <w:lang w:eastAsia="es-ES"/>
        </w:rPr>
        <w:t xml:space="preserve"> combined with a multiaxial fatigue parameter </w:t>
      </w:r>
      <w:r w:rsidR="0006422F" w:rsidRPr="003F3B0B">
        <w:rPr>
          <w:lang w:eastAsia="es-ES"/>
        </w:rPr>
        <w:t>provides accurate predictions of</w:t>
      </w:r>
      <w:r w:rsidRPr="003F3B0B">
        <w:rPr>
          <w:lang w:eastAsia="es-ES"/>
        </w:rPr>
        <w:t xml:space="preserve"> the beneficial effect of fretting wear on fatigue </w:t>
      </w:r>
      <w:r w:rsidR="0006422F" w:rsidRPr="003F3B0B">
        <w:rPr>
          <w:lang w:eastAsia="es-ES"/>
        </w:rPr>
        <w:t>life</w:t>
      </w:r>
      <w:r w:rsidR="00E00BCA" w:rsidRPr="003F3B0B">
        <w:rPr>
          <w:lang w:eastAsia="es-ES"/>
        </w:rPr>
        <w:t xml:space="preserve"> for pressure armour material</w:t>
      </w:r>
      <w:r w:rsidRPr="003F3B0B">
        <w:rPr>
          <w:lang w:eastAsia="es-ES"/>
        </w:rPr>
        <w:t xml:space="preserve"> </w:t>
      </w:r>
      <w:r w:rsidRPr="003F3B0B">
        <w:rPr>
          <w:lang w:eastAsia="es-ES"/>
        </w:rPr>
        <w:fldChar w:fldCharType="begin" w:fldLock="1"/>
      </w:r>
      <w:r w:rsidR="00EF5D3F" w:rsidRPr="003F3B0B">
        <w:rPr>
          <w:lang w:eastAsia="es-ES"/>
        </w:rPr>
        <w:instrText>ADDIN CSL_CITATION { "citationItems" : [ { "id" : "ITEM-1", "itemData" : { "DOI" : "10.1016/J.TRIBOINT.2016.10.020", "ISSN" : "0301-679X", "abstract" : "This paper presents a combined experimental and computational methodology for fretting wear-fatigue prediction of pressure armour wire in flexible marine risers. Fretting wear, friction and fatigue parameters of pressure armour material have been characterised experimentally. A combined fretting wear-fatigue finite element model has been developed using an adaptive meshing technique and the effect of bending-induced tangential slip has been characterised. It has been shown that a surface damage parameter combined with a multiaxial fatigue parameter can accurately predict the beneficial effect of fretting wear on fatigue predictions. This provides a computationally efficient design tool for fretting in the pressure armour layer of flexible marine risers.", "author" : [ { "dropping-particle" : "", "family" : "O\u2019Halloran", "given" : "S.M.", "non-dropping-particle" : "", "parse-names" : false, "suffix" : "" }, { "dropping-particle" : "", "family" : "Shipway", "given" : "P.H.", "non-dropping-particle" : "", "parse-names" : false, "suffix" : "" }, { "dropping-particle" : "", "family" : "Connaire", "given" : "A.D.", "non-dropping-particle" : "", "parse-names" : false, "suffix" : "" }, { "dropping-particle" : "", "family" : "Leen", "given" : "S.B.", "non-dropping-particle" : "", "parse-names" : false, "suffix" : "" }, { "dropping-particle" : "", "family" : "Harte", "given" : "A.M.", "non-dropping-particle" : "", "parse-names" : false, "suffix" : "" } ], "container-title" : "Tribology International", "id" : "ITEM-1", "issued" : { "date-parts" : [ [ "2017", "4" ] ] }, "page" : "7-15", "publisher" : "Elsevier", "title" : "A combined wear-fatigue design methodology for fretting in the pressure armour layer of flexible marine risers", "type" : "article-journal", "volume" : "108" }, "uris" : [ "http://www.mendeley.com/documents/?uuid=185157f9-3db6-4b4e-b1c3-f959292fae47", "http://www.mendeley.com/documents/?uuid=88146822-3a12-3529-a35a-96166ea5df0f" ] } ], "mendeley" : { "formattedCitation" : "[23]", "plainTextFormattedCitation" : "[23]", "previouslyFormattedCitation" : "[23]" }, "properties" : { "noteIndex" : 2 }, "schema" : "https://github.com/citation-style-language/schema/raw/master/csl-citation.json" }</w:instrText>
      </w:r>
      <w:r w:rsidRPr="003F3B0B">
        <w:rPr>
          <w:lang w:eastAsia="es-ES"/>
        </w:rPr>
        <w:fldChar w:fldCharType="separate"/>
      </w:r>
      <w:r w:rsidR="00EF5D3F" w:rsidRPr="003F3B0B">
        <w:rPr>
          <w:noProof/>
          <w:lang w:eastAsia="es-ES"/>
        </w:rPr>
        <w:t>[23]</w:t>
      </w:r>
      <w:r w:rsidRPr="003F3B0B">
        <w:rPr>
          <w:lang w:eastAsia="es-ES"/>
        </w:rPr>
        <w:fldChar w:fldCharType="end"/>
      </w:r>
      <w:r w:rsidRPr="003F3B0B">
        <w:rPr>
          <w:lang w:eastAsia="es-ES"/>
        </w:rPr>
        <w:t>.</w:t>
      </w:r>
    </w:p>
    <w:p w14:paraId="1BC39567" w14:textId="732CF79D" w:rsidR="00B3306F" w:rsidRPr="003F3B0B" w:rsidRDefault="0023432E" w:rsidP="00B3306F">
      <w:pPr>
        <w:rPr>
          <w:lang w:eastAsia="es-ES"/>
        </w:rPr>
      </w:pPr>
      <w:r w:rsidRPr="003F3B0B">
        <w:rPr>
          <w:lang w:eastAsia="es-ES"/>
        </w:rPr>
        <w:t xml:space="preserve">A framework for fretting analysis of the pressure armour wire of flexible marine risers has been previously outlined </w:t>
      </w:r>
      <w:r w:rsidRPr="003F3B0B">
        <w:rPr>
          <w:lang w:eastAsia="es-ES"/>
        </w:rPr>
        <w:fldChar w:fldCharType="begin" w:fldLock="1"/>
      </w:r>
      <w:r w:rsidR="00EF5D3F" w:rsidRPr="003F3B0B">
        <w:rPr>
          <w:lang w:eastAsia="es-ES"/>
        </w:rPr>
        <w:instrText>ADDIN CSL_CITATION { "citationItems" : [ { "id" : "ITEM-1", "itemData" : { "DOI" : "10.4043/26985-MS", "ISBN" : "978-1-61399-437-5", "author" : [ { "dropping-particle" : "", "family" : "O'Halloran", "given" : "Sin\u00e9ad", "non-dropping-particle" : "", "parse-names" : false, "suffix" : "" }, { "dropping-particle" : "", "family" : "Harte", "given" : "Annette", "non-dropping-particle" : "", "parse-names" : false, "suffix" : "" }, { "dropping-particle" : "", "family" : "Connaire", "given" : "Adrian", "non-dropping-particle" : "", "parse-names" : false, "suffix" : "" }, { "dropping-particle" : "", "family" : "Leen", "given" : "Sean", "non-dropping-particle" : "", "parse-names" : false, "suffix" : "" } ], "container-title" : "Offshore Technology Conference", "id" : "ITEM-1", "issued" : { "date-parts" : [ [ "2016", "5" ] ] }, "publisher" : "Offshore Technology Conference", "title" : "The Prediction of Fretting Fatigue in the Pressure Armours of Dynamic Flexible Pipes", "type" : "paper-conference" }, "uris" : [ "http://www.mendeley.com/documents/?uuid=96b45cf5-2971-31c1-842b-62b859680a00", "http://www.mendeley.com/documents/?uuid=4ca92ba5-6f25-4820-9e47-8068729e33c9" ] } ], "mendeley" : { "formattedCitation" : "[25]", "plainTextFormattedCitation" : "[25]", "previouslyFormattedCitation" : "[25]" }, "properties" : { "noteIndex" : 2 }, "schema" : "https://github.com/citation-style-language/schema/raw/master/csl-citation.json" }</w:instrText>
      </w:r>
      <w:r w:rsidRPr="003F3B0B">
        <w:rPr>
          <w:lang w:eastAsia="es-ES"/>
        </w:rPr>
        <w:fldChar w:fldCharType="separate"/>
      </w:r>
      <w:r w:rsidR="00EF5D3F" w:rsidRPr="003F3B0B">
        <w:rPr>
          <w:noProof/>
          <w:lang w:eastAsia="es-ES"/>
        </w:rPr>
        <w:t>[25]</w:t>
      </w:r>
      <w:r w:rsidRPr="003F3B0B">
        <w:rPr>
          <w:lang w:eastAsia="es-ES"/>
        </w:rPr>
        <w:fldChar w:fldCharType="end"/>
      </w:r>
      <w:r w:rsidRPr="003F3B0B">
        <w:rPr>
          <w:lang w:eastAsia="es-ES"/>
        </w:rPr>
        <w:t xml:space="preserve">. </w:t>
      </w:r>
      <w:r w:rsidR="00A80B05" w:rsidRPr="003F3B0B">
        <w:rPr>
          <w:lang w:eastAsia="es-ES"/>
        </w:rPr>
        <w:t>T</w:t>
      </w:r>
      <w:r w:rsidRPr="003F3B0B">
        <w:rPr>
          <w:lang w:eastAsia="es-ES"/>
        </w:rPr>
        <w:t xml:space="preserve">his design framework is further developed </w:t>
      </w:r>
      <w:r w:rsidR="00A80B05" w:rsidRPr="003F3B0B">
        <w:rPr>
          <w:lang w:eastAsia="es-ES"/>
        </w:rPr>
        <w:t xml:space="preserve">here </w:t>
      </w:r>
      <w:r w:rsidRPr="003F3B0B">
        <w:rPr>
          <w:lang w:eastAsia="es-ES"/>
        </w:rPr>
        <w:t xml:space="preserve">and a design study for a flexible riser jumper is conducted. Figure 1 </w:t>
      </w:r>
      <w:proofErr w:type="gramStart"/>
      <w:r w:rsidRPr="003F3B0B">
        <w:rPr>
          <w:lang w:eastAsia="es-ES"/>
        </w:rPr>
        <w:t>shows</w:t>
      </w:r>
      <w:proofErr w:type="gramEnd"/>
      <w:r w:rsidRPr="003F3B0B">
        <w:rPr>
          <w:lang w:eastAsia="es-ES"/>
        </w:rPr>
        <w:t xml:space="preserve"> the design framework implemented in this paper for service life prediction of the nub-groove contact in the pressure armour layer of a flexible riser jumper. A</w:t>
      </w:r>
      <w:r w:rsidR="00B3306F" w:rsidRPr="003F3B0B">
        <w:rPr>
          <w:lang w:eastAsia="es-ES"/>
        </w:rPr>
        <w:t xml:space="preserve"> global-local computational methodology</w:t>
      </w:r>
      <w:r w:rsidR="00091E6F" w:rsidRPr="003F3B0B">
        <w:rPr>
          <w:lang w:eastAsia="es-ES"/>
        </w:rPr>
        <w:t>, with inputs from an experimental test regime,</w:t>
      </w:r>
      <w:r w:rsidR="00B3306F" w:rsidRPr="003F3B0B">
        <w:rPr>
          <w:lang w:eastAsia="es-ES"/>
        </w:rPr>
        <w:t xml:space="preserve"> for analysis of the pressure armour layer in flexible risers is presented. The methodology consists of a hierarchy of models, including a global riser dynamic model, geometrical and analytical riser sub-models, and an axisymmetric nub-groove local contact model.</w:t>
      </w:r>
      <w:r w:rsidR="00996563" w:rsidRPr="003F3B0B">
        <w:rPr>
          <w:lang w:eastAsia="es-ES"/>
        </w:rPr>
        <w:t xml:space="preserve"> The contact conditions, i.e. coefficient of friction and wear coefficient, in the local model </w:t>
      </w:r>
      <w:r w:rsidR="004B6886" w:rsidRPr="003F3B0B">
        <w:rPr>
          <w:lang w:eastAsia="es-ES"/>
        </w:rPr>
        <w:t>are</w:t>
      </w:r>
      <w:r w:rsidR="00996563" w:rsidRPr="003F3B0B">
        <w:rPr>
          <w:lang w:eastAsia="es-ES"/>
        </w:rPr>
        <w:t xml:space="preserve"> identified experimentally. </w:t>
      </w:r>
      <w:r w:rsidR="008345D8" w:rsidRPr="003F3B0B">
        <w:rPr>
          <w:lang w:eastAsia="es-ES"/>
        </w:rPr>
        <w:t>Fretting testing of pressure armour material under representative loading conditions</w:t>
      </w:r>
      <w:r w:rsidR="00996563" w:rsidRPr="003F3B0B">
        <w:rPr>
          <w:lang w:eastAsia="es-ES"/>
        </w:rPr>
        <w:t xml:space="preserve"> </w:t>
      </w:r>
      <w:r w:rsidR="00D92FD4" w:rsidRPr="003F3B0B">
        <w:rPr>
          <w:lang w:eastAsia="es-ES"/>
        </w:rPr>
        <w:t>is</w:t>
      </w:r>
      <w:r w:rsidR="008345D8" w:rsidRPr="003F3B0B">
        <w:rPr>
          <w:lang w:eastAsia="es-ES"/>
        </w:rPr>
        <w:t xml:space="preserve"> conducted using a </w:t>
      </w:r>
      <w:r w:rsidR="004B6886" w:rsidRPr="003F3B0B">
        <w:rPr>
          <w:lang w:eastAsia="es-ES"/>
        </w:rPr>
        <w:t>recently developed</w:t>
      </w:r>
      <w:r w:rsidR="008345D8" w:rsidRPr="003F3B0B">
        <w:rPr>
          <w:lang w:eastAsia="es-ES"/>
        </w:rPr>
        <w:t xml:space="preserve"> fretting rig. </w:t>
      </w:r>
      <w:r w:rsidR="00996563" w:rsidRPr="003F3B0B">
        <w:rPr>
          <w:lang w:eastAsia="es-ES"/>
        </w:rPr>
        <w:t xml:space="preserve">The representative loading conditions </w:t>
      </w:r>
      <w:r w:rsidR="004B6886" w:rsidRPr="003F3B0B">
        <w:rPr>
          <w:lang w:eastAsia="es-ES"/>
        </w:rPr>
        <w:t xml:space="preserve">are </w:t>
      </w:r>
      <w:r w:rsidR="00996563" w:rsidRPr="003F3B0B">
        <w:rPr>
          <w:lang w:eastAsia="es-ES"/>
        </w:rPr>
        <w:t>determined from a combination of global riser models and geometrical and analytical riser sub-models</w:t>
      </w:r>
      <w:r w:rsidR="009734C5" w:rsidRPr="003F3B0B">
        <w:rPr>
          <w:lang w:eastAsia="es-ES"/>
        </w:rPr>
        <w:t>, as depicted in Figure 1</w:t>
      </w:r>
      <w:r w:rsidR="00996563" w:rsidRPr="003F3B0B">
        <w:rPr>
          <w:lang w:eastAsia="es-ES"/>
        </w:rPr>
        <w:t xml:space="preserve">. Experimental testing of </w:t>
      </w:r>
      <w:r w:rsidR="004B6886" w:rsidRPr="003F3B0B">
        <w:rPr>
          <w:lang w:eastAsia="es-ES"/>
        </w:rPr>
        <w:t xml:space="preserve">the </w:t>
      </w:r>
      <w:r w:rsidR="00996563" w:rsidRPr="003F3B0B">
        <w:rPr>
          <w:lang w:eastAsia="es-ES"/>
        </w:rPr>
        <w:t xml:space="preserve">pressure armour material under representative loading conditions </w:t>
      </w:r>
      <w:r w:rsidR="00B3306F" w:rsidRPr="003F3B0B">
        <w:rPr>
          <w:lang w:eastAsia="es-ES"/>
        </w:rPr>
        <w:t xml:space="preserve">allows for quantification of </w:t>
      </w:r>
      <w:r w:rsidR="009559D5" w:rsidRPr="003F3B0B">
        <w:rPr>
          <w:lang w:eastAsia="es-ES"/>
        </w:rPr>
        <w:t xml:space="preserve">key fretting variables, </w:t>
      </w:r>
      <w:r w:rsidR="0006422F" w:rsidRPr="003F3B0B">
        <w:rPr>
          <w:lang w:eastAsia="es-ES"/>
        </w:rPr>
        <w:t>including</w:t>
      </w:r>
      <w:r w:rsidR="009559D5" w:rsidRPr="003F3B0B">
        <w:rPr>
          <w:lang w:eastAsia="es-ES"/>
        </w:rPr>
        <w:t xml:space="preserve"> coefficient of friction and wear rate, which</w:t>
      </w:r>
      <w:r w:rsidR="004B6886" w:rsidRPr="003F3B0B">
        <w:rPr>
          <w:lang w:eastAsia="es-ES"/>
        </w:rPr>
        <w:t>,</w:t>
      </w:r>
      <w:r w:rsidR="005F3E37" w:rsidRPr="003F3B0B">
        <w:rPr>
          <w:lang w:eastAsia="es-ES"/>
        </w:rPr>
        <w:t xml:space="preserve"> </w:t>
      </w:r>
      <w:r w:rsidR="004B6886" w:rsidRPr="003F3B0B">
        <w:rPr>
          <w:lang w:eastAsia="es-ES"/>
        </w:rPr>
        <w:t xml:space="preserve">in turn, control </w:t>
      </w:r>
      <w:r w:rsidR="00B3306F" w:rsidRPr="003F3B0B">
        <w:rPr>
          <w:lang w:eastAsia="es-ES"/>
        </w:rPr>
        <w:t>contact pressure</w:t>
      </w:r>
      <w:r w:rsidR="009559D5" w:rsidRPr="003F3B0B">
        <w:rPr>
          <w:lang w:eastAsia="es-ES"/>
        </w:rPr>
        <w:t xml:space="preserve"> evolution</w:t>
      </w:r>
      <w:r w:rsidR="00B3306F" w:rsidRPr="003F3B0B">
        <w:rPr>
          <w:lang w:eastAsia="es-ES"/>
        </w:rPr>
        <w:t>, relative slip and sub-surface st</w:t>
      </w:r>
      <w:r w:rsidR="009559D5" w:rsidRPr="003F3B0B">
        <w:rPr>
          <w:lang w:eastAsia="es-ES"/>
        </w:rPr>
        <w:t>resses in this complex geometry</w:t>
      </w:r>
      <w:r w:rsidR="00B3306F" w:rsidRPr="003F3B0B">
        <w:rPr>
          <w:lang w:eastAsia="es-ES"/>
        </w:rPr>
        <w:t xml:space="preserve">. </w:t>
      </w:r>
    </w:p>
    <w:p w14:paraId="3947592D" w14:textId="298F636B" w:rsidR="00B3306F" w:rsidRPr="003F3B0B" w:rsidRDefault="008516EC" w:rsidP="00B3306F">
      <w:pPr>
        <w:rPr>
          <w:lang w:eastAsia="es-ES"/>
        </w:rPr>
      </w:pPr>
      <w:r w:rsidRPr="003F3B0B">
        <w:rPr>
          <w:lang w:eastAsia="es-ES"/>
        </w:rPr>
        <w:t xml:space="preserve">Running condition fretting maps </w:t>
      </w:r>
      <w:r w:rsidR="004B6886" w:rsidRPr="003F3B0B">
        <w:rPr>
          <w:lang w:eastAsia="es-ES"/>
        </w:rPr>
        <w:t>are</w:t>
      </w:r>
      <w:r w:rsidRPr="003F3B0B">
        <w:rPr>
          <w:lang w:eastAsia="es-ES"/>
        </w:rPr>
        <w:t xml:space="preserve"> developed for the riser jumpers, representing t</w:t>
      </w:r>
      <w:r w:rsidR="00B3306F" w:rsidRPr="003F3B0B">
        <w:rPr>
          <w:lang w:eastAsia="es-ES"/>
        </w:rPr>
        <w:t xml:space="preserve">he key functional relationships between global riser variables and </w:t>
      </w:r>
      <w:r w:rsidRPr="003F3B0B">
        <w:rPr>
          <w:lang w:eastAsia="es-ES"/>
        </w:rPr>
        <w:t xml:space="preserve">the </w:t>
      </w:r>
      <w:r w:rsidR="00B3306F" w:rsidRPr="003F3B0B">
        <w:rPr>
          <w:lang w:eastAsia="es-ES"/>
        </w:rPr>
        <w:t xml:space="preserve">local nub-groove fretting </w:t>
      </w:r>
      <w:r w:rsidR="00B3306F" w:rsidRPr="003F3B0B">
        <w:rPr>
          <w:lang w:eastAsia="es-ES"/>
        </w:rPr>
        <w:lastRenderedPageBreak/>
        <w:t xml:space="preserve">variables. </w:t>
      </w:r>
      <w:r w:rsidR="004B6886" w:rsidRPr="003F3B0B">
        <w:rPr>
          <w:lang w:eastAsia="es-ES"/>
        </w:rPr>
        <w:t>T</w:t>
      </w:r>
      <w:r w:rsidRPr="003F3B0B">
        <w:rPr>
          <w:lang w:eastAsia="es-ES"/>
        </w:rPr>
        <w:t>hese maps</w:t>
      </w:r>
      <w:r w:rsidR="004B6886" w:rsidRPr="003F3B0B">
        <w:rPr>
          <w:lang w:eastAsia="es-ES"/>
        </w:rPr>
        <w:t xml:space="preserve"> facilitate identification of the</w:t>
      </w:r>
      <w:r w:rsidR="00B3306F" w:rsidRPr="003F3B0B">
        <w:rPr>
          <w:lang w:eastAsia="es-ES"/>
        </w:rPr>
        <w:t xml:space="preserve"> critical riser curvatures for minimum predicted numbers of cycles to crack initiation</w:t>
      </w:r>
      <w:r w:rsidR="00C91464" w:rsidRPr="003F3B0B">
        <w:rPr>
          <w:lang w:eastAsia="es-ES"/>
        </w:rPr>
        <w:t>,</w:t>
      </w:r>
      <w:r w:rsidR="00B3306F" w:rsidRPr="003F3B0B">
        <w:rPr>
          <w:lang w:eastAsia="es-ES"/>
        </w:rPr>
        <w:t xml:space="preserve"> </w:t>
      </w:r>
      <w:r w:rsidR="004B6886" w:rsidRPr="003F3B0B">
        <w:rPr>
          <w:lang w:eastAsia="es-ES"/>
        </w:rPr>
        <w:t xml:space="preserve">applied here </w:t>
      </w:r>
      <w:r w:rsidR="00B3306F" w:rsidRPr="003F3B0B">
        <w:rPr>
          <w:lang w:eastAsia="es-ES"/>
        </w:rPr>
        <w:t xml:space="preserve">for </w:t>
      </w:r>
      <w:r w:rsidR="0006422F" w:rsidRPr="003F3B0B">
        <w:rPr>
          <w:lang w:eastAsia="es-ES"/>
        </w:rPr>
        <w:t>a range of</w:t>
      </w:r>
      <w:r w:rsidR="00B3306F" w:rsidRPr="003F3B0B">
        <w:rPr>
          <w:lang w:eastAsia="es-ES"/>
        </w:rPr>
        <w:t xml:space="preserve"> riser design geometries</w:t>
      </w:r>
      <w:r w:rsidRPr="003F3B0B">
        <w:rPr>
          <w:lang w:eastAsia="es-ES"/>
        </w:rPr>
        <w:t xml:space="preserve"> </w:t>
      </w:r>
      <w:r w:rsidR="0006422F" w:rsidRPr="003F3B0B">
        <w:rPr>
          <w:lang w:eastAsia="es-ES"/>
        </w:rPr>
        <w:t>in</w:t>
      </w:r>
      <w:r w:rsidR="004B6886" w:rsidRPr="003F3B0B">
        <w:rPr>
          <w:lang w:eastAsia="es-ES"/>
        </w:rPr>
        <w:t xml:space="preserve"> the design study</w:t>
      </w:r>
      <w:r w:rsidR="00B3306F" w:rsidRPr="003F3B0B">
        <w:rPr>
          <w:lang w:eastAsia="es-ES"/>
        </w:rPr>
        <w:t xml:space="preserve">. </w:t>
      </w:r>
      <w:r w:rsidR="007F715F" w:rsidRPr="003F3B0B">
        <w:rPr>
          <w:lang w:eastAsia="es-ES"/>
        </w:rPr>
        <w:t xml:space="preserve">The methodology provides </w:t>
      </w:r>
      <w:r w:rsidRPr="003F3B0B">
        <w:rPr>
          <w:lang w:eastAsia="es-ES"/>
        </w:rPr>
        <w:t>crack initiation and propagation predict</w:t>
      </w:r>
      <w:r w:rsidR="007F715F" w:rsidRPr="003F3B0B">
        <w:rPr>
          <w:lang w:eastAsia="es-ES"/>
        </w:rPr>
        <w:t>ions</w:t>
      </w:r>
      <w:r w:rsidRPr="003F3B0B">
        <w:rPr>
          <w:lang w:eastAsia="es-ES"/>
        </w:rPr>
        <w:t xml:space="preserve"> for </w:t>
      </w:r>
      <w:r w:rsidR="007F715F" w:rsidRPr="003F3B0B">
        <w:rPr>
          <w:lang w:eastAsia="es-ES"/>
        </w:rPr>
        <w:t xml:space="preserve">the range of </w:t>
      </w:r>
      <w:r w:rsidRPr="003F3B0B">
        <w:rPr>
          <w:lang w:eastAsia="es-ES"/>
        </w:rPr>
        <w:t xml:space="preserve">riser geometries using </w:t>
      </w:r>
      <w:r w:rsidR="007F715F" w:rsidRPr="003F3B0B">
        <w:rPr>
          <w:lang w:eastAsia="es-ES"/>
        </w:rPr>
        <w:t xml:space="preserve">the </w:t>
      </w:r>
      <w:r w:rsidRPr="003F3B0B">
        <w:rPr>
          <w:lang w:eastAsia="es-ES"/>
        </w:rPr>
        <w:t>three-dimensional critical</w:t>
      </w:r>
      <w:r w:rsidR="007F715F" w:rsidRPr="003F3B0B">
        <w:rPr>
          <w:lang w:eastAsia="es-ES"/>
        </w:rPr>
        <w:t>-</w:t>
      </w:r>
      <w:r w:rsidRPr="003F3B0B">
        <w:rPr>
          <w:lang w:eastAsia="es-ES"/>
        </w:rPr>
        <w:t xml:space="preserve">plane Smith-Watson-Topper (SWT) multiaxial fatigue indicator parameter and </w:t>
      </w:r>
      <w:r w:rsidR="00B3306F" w:rsidRPr="003F3B0B">
        <w:rPr>
          <w:lang w:eastAsia="es-ES"/>
        </w:rPr>
        <w:t>a weight function method</w:t>
      </w:r>
      <w:r w:rsidRPr="003F3B0B">
        <w:rPr>
          <w:lang w:eastAsia="es-ES"/>
        </w:rPr>
        <w:t>, respectively</w:t>
      </w:r>
      <w:r w:rsidR="00B3306F" w:rsidRPr="003F3B0B">
        <w:rPr>
          <w:lang w:eastAsia="es-ES"/>
        </w:rPr>
        <w:t xml:space="preserve">. </w:t>
      </w:r>
      <w:r w:rsidR="00EF5D3F" w:rsidRPr="003F3B0B">
        <w:rPr>
          <w:lang w:eastAsia="es-ES"/>
        </w:rPr>
        <w:t xml:space="preserve">Furthermore, the work presented here can be adapted to develop a riser design tool using a stand-alone computationally-efficient analytical fretting wear-fatigue model </w:t>
      </w:r>
      <w:r w:rsidR="00EF5D3F" w:rsidRPr="003F3B0B">
        <w:rPr>
          <w:lang w:eastAsia="es-ES"/>
        </w:rPr>
        <w:fldChar w:fldCharType="begin" w:fldLock="1"/>
      </w:r>
      <w:r w:rsidR="00EF5D3F" w:rsidRPr="003F3B0B">
        <w:rPr>
          <w:lang w:eastAsia="es-ES"/>
        </w:rPr>
        <w:instrText>ADDIN CSL_CITATION { "citationItems" : [ { "id" : "ITEM-1", "itemData" : { "author" : [ { "dropping-particle" : "", "family" : "O'Halloran", "given" : "Sin\u00e9ad M.", "non-dropping-particle" : "", "parse-names" : false, "suffix" : "" } ], "id" : "ITEM-1", "issued" : { "date-parts" : [ [ "2017" ] ] }, "publisher" : "Ph.D. Thesis, Mechanical Engineering, National University of Ireland Galway", "title" : "Experimental Characterisation , Computational Modelling and Design Tool Development for Fretting Fatigue and Wear in Flexible Marine Risers", "type" : "thesis" }, "uris" : [ "http://www.mendeley.com/documents/?uuid=65192432-607d-4b36-a00e-6c3ecdca3c50" ] } ], "mendeley" : { "formattedCitation" : "[26]", "plainTextFormattedCitation" : "[26]", "previouslyFormattedCitation" : "[26]" }, "properties" : { "noteIndex" : 5 }, "schema" : "https://github.com/citation-style-language/schema/raw/master/csl-citation.json" }</w:instrText>
      </w:r>
      <w:r w:rsidR="00EF5D3F" w:rsidRPr="003F3B0B">
        <w:rPr>
          <w:lang w:eastAsia="es-ES"/>
        </w:rPr>
        <w:fldChar w:fldCharType="separate"/>
      </w:r>
      <w:r w:rsidR="00EF5D3F" w:rsidRPr="003F3B0B">
        <w:rPr>
          <w:noProof/>
          <w:lang w:eastAsia="es-ES"/>
        </w:rPr>
        <w:t>[26]</w:t>
      </w:r>
      <w:r w:rsidR="00EF5D3F" w:rsidRPr="003F3B0B">
        <w:rPr>
          <w:lang w:eastAsia="es-ES"/>
        </w:rPr>
        <w:fldChar w:fldCharType="end"/>
      </w:r>
      <w:r w:rsidR="00EF5D3F" w:rsidRPr="003F3B0B">
        <w:rPr>
          <w:lang w:eastAsia="es-ES"/>
        </w:rPr>
        <w:t xml:space="preserve">, based on the work of Hills et al. </w:t>
      </w:r>
      <w:r w:rsidR="00EF5D3F" w:rsidRPr="003F3B0B">
        <w:rPr>
          <w:lang w:eastAsia="es-ES"/>
        </w:rPr>
        <w:fldChar w:fldCharType="begin" w:fldLock="1"/>
      </w:r>
      <w:r w:rsidR="00EF5D3F" w:rsidRPr="003F3B0B">
        <w:rPr>
          <w:lang w:eastAsia="es-ES"/>
        </w:rPr>
        <w:instrText>ADDIN CSL_CITATION { "citationItems" : [ { "id" : "ITEM-1", "itemData" : { "DOI" : "10.1115/1.3118785", "ISSN" : "07424787", "abstract" : "The final configuration of a cylindrical Hertzian contact, subject to oscillatory shear and undergoing wear, is studied. It is assumed that wear has proceeded for a long time, so that the final, modified contact is wholly adhered. It is shown that the extent of the final contact corresponds to that of the initial adhered region and the pressure distribution, and state of stress at the new contact edge are all derived, so that the environment in which cracks nucleate is well described. [DOI: 10.1115/1.3118785]", "author" : [ { "dropping-particle" : "", "family" : "Hills", "given" : "D. A.", "non-dropping-particle" : "", "parse-names" : false, "suffix" : "" }, { "dropping-particle" : "", "family" : "Sackfield", "given" : "A.", "non-dropping-particle" : "", "parse-names" : false, "suffix" : "" }, { "dropping-particle" : "", "family" : "Paynter", "given" : "R. J. H.", "non-dropping-particle" : "", "parse-names" : false, "suffix" : "" } ], "container-title" : "Journal of Tribology", "id" : "ITEM-1", "issue" : "3", "issued" : { "date-parts" : [ [ "2009" ] ] }, "page" : "031401", "title" : "Simulation of Fretting Wear in Halfplane Geometries: Part 1\u2014The Solution for Long Term Wear", "type" : "article-journal", "volume" : "131" }, "uris" : [ "http://www.mendeley.com/documents/?uuid=0cfdb972-bf97-4cf7-9cef-770f7d298803" ] } ], "mendeley" : { "formattedCitation" : "[27]", "plainTextFormattedCitation" : "[27]", "previouslyFormattedCitation" : "[27]" }, "properties" : { "noteIndex" : 5 }, "schema" : "https://github.com/citation-style-language/schema/raw/master/csl-citation.json" }</w:instrText>
      </w:r>
      <w:r w:rsidR="00EF5D3F" w:rsidRPr="003F3B0B">
        <w:rPr>
          <w:lang w:eastAsia="es-ES"/>
        </w:rPr>
        <w:fldChar w:fldCharType="separate"/>
      </w:r>
      <w:r w:rsidR="00EF5D3F" w:rsidRPr="003F3B0B">
        <w:rPr>
          <w:noProof/>
          <w:lang w:eastAsia="es-ES"/>
        </w:rPr>
        <w:t>[27]</w:t>
      </w:r>
      <w:r w:rsidR="00EF5D3F" w:rsidRPr="003F3B0B">
        <w:rPr>
          <w:lang w:eastAsia="es-ES"/>
        </w:rPr>
        <w:fldChar w:fldCharType="end"/>
      </w:r>
      <w:r w:rsidR="00EF5D3F" w:rsidRPr="003F3B0B">
        <w:rPr>
          <w:lang w:eastAsia="es-ES"/>
        </w:rPr>
        <w:t xml:space="preserve"> and </w:t>
      </w:r>
      <w:proofErr w:type="spellStart"/>
      <w:r w:rsidR="00EF5D3F" w:rsidRPr="003F3B0B">
        <w:rPr>
          <w:lang w:eastAsia="es-ES"/>
        </w:rPr>
        <w:t>Nowell</w:t>
      </w:r>
      <w:proofErr w:type="spellEnd"/>
      <w:r w:rsidR="00EF5D3F" w:rsidRPr="003F3B0B">
        <w:rPr>
          <w:lang w:eastAsia="es-ES"/>
        </w:rPr>
        <w:t xml:space="preserve"> </w:t>
      </w:r>
      <w:r w:rsidR="00EF5D3F" w:rsidRPr="003F3B0B">
        <w:rPr>
          <w:lang w:eastAsia="es-ES"/>
        </w:rPr>
        <w:fldChar w:fldCharType="begin" w:fldLock="1"/>
      </w:r>
      <w:r w:rsidR="00EF5D3F" w:rsidRPr="003F3B0B">
        <w:rPr>
          <w:lang w:eastAsia="es-ES"/>
        </w:rPr>
        <w:instrText>ADDIN CSL_CITATION { "citationItems" : [ { "id" : "ITEM-1", "itemData" : { "DOI" : "10.1115/1.4000733", "ISBN" : "0742-4787", "ISSN" : "07424787", "abstract" : "This paper presents an efficient numerical method based on quadratic programming, which may be used to analyze fretting contacts in the presence of wear. The approach provides an alternative to a full finite element analysis, and is much less computationally expensive. Results are presented for wear of a Hertzian contact under full sliding and under partial slip. These are compared with previously published finite element analyses of the same problem. Results are also obtained for the fully worn problem by allowing a large number of wear cycles to accumulate. The predicted traction distributions for this case compare well with the fully worn analytical solution presented in part one of this paper. [DOI: 10.1115/1.4000733]", "author" : [ { "dropping-particle" : "", "family" : "Nowell", "given" : "D.", "non-dropping-particle" : "", "parse-names" : false, "suffix" : "" } ], "container-title" : "Journal of Tribology", "id" : "ITEM-1", "issue" : "2", "issued" : { "date-parts" : [ [ "2010" ] ] }, "page" : "021402", "title" : "Simulation of Fretting Wear in Half-Plane Geometries\u2014Part II: Analysis of the Transient Wear Problem Using Quadratic Programming", "type" : "article-journal", "volume" : "132" }, "uris" : [ "http://www.mendeley.com/documents/?uuid=59b2085d-ae2b-47f7-941c-8083311ab2df" ] } ], "mendeley" : { "formattedCitation" : "[28]", "plainTextFormattedCitation" : "[28]", "previouslyFormattedCitation" : "[28]" }, "properties" : { "noteIndex" : 5 }, "schema" : "https://github.com/citation-style-language/schema/raw/master/csl-citation.json" }</w:instrText>
      </w:r>
      <w:r w:rsidR="00EF5D3F" w:rsidRPr="003F3B0B">
        <w:rPr>
          <w:lang w:eastAsia="es-ES"/>
        </w:rPr>
        <w:fldChar w:fldCharType="separate"/>
      </w:r>
      <w:r w:rsidR="00EF5D3F" w:rsidRPr="003F3B0B">
        <w:rPr>
          <w:noProof/>
          <w:lang w:eastAsia="es-ES"/>
        </w:rPr>
        <w:t>[28]</w:t>
      </w:r>
      <w:r w:rsidR="00EF5D3F" w:rsidRPr="003F3B0B">
        <w:rPr>
          <w:lang w:eastAsia="es-ES"/>
        </w:rPr>
        <w:fldChar w:fldCharType="end"/>
      </w:r>
      <w:r w:rsidR="00EF5D3F" w:rsidRPr="003F3B0B">
        <w:rPr>
          <w:lang w:eastAsia="es-ES"/>
        </w:rPr>
        <w:t>.</w:t>
      </w:r>
    </w:p>
    <w:p w14:paraId="0134D524" w14:textId="77777777" w:rsidR="008516EC" w:rsidRPr="003F3B0B" w:rsidRDefault="008516EC" w:rsidP="00B3306F">
      <w:pPr>
        <w:rPr>
          <w:lang w:eastAsia="es-ES"/>
        </w:rPr>
      </w:pPr>
    </w:p>
    <w:p w14:paraId="62E1659F" w14:textId="77777777" w:rsidR="00D237A1" w:rsidRPr="003F3B0B" w:rsidRDefault="00AE3B0E" w:rsidP="00AE3B0E">
      <w:pPr>
        <w:pStyle w:val="Heading1"/>
      </w:pPr>
      <w:r w:rsidRPr="003F3B0B">
        <w:t>Methodology</w:t>
      </w:r>
    </w:p>
    <w:p w14:paraId="7C0470A8" w14:textId="6AE30851" w:rsidR="00B44C2E" w:rsidRPr="003F3B0B" w:rsidRDefault="00EA56F6" w:rsidP="00B44C2E">
      <w:r w:rsidRPr="003F3B0B">
        <w:fldChar w:fldCharType="begin"/>
      </w:r>
      <w:r w:rsidRPr="003F3B0B">
        <w:instrText xml:space="preserve"> REF _Ref11236066 \h </w:instrText>
      </w:r>
      <w:r w:rsidRPr="003F3B0B">
        <w:fldChar w:fldCharType="separate"/>
      </w:r>
      <w:r w:rsidR="003D1AA2" w:rsidRPr="003F3B0B">
        <w:t xml:space="preserve">Figure </w:t>
      </w:r>
      <w:r w:rsidR="003D1AA2" w:rsidRPr="003F3B0B">
        <w:rPr>
          <w:noProof/>
        </w:rPr>
        <w:t>2</w:t>
      </w:r>
      <w:r w:rsidRPr="003F3B0B">
        <w:fldChar w:fldCharType="end"/>
      </w:r>
      <w:r w:rsidRPr="003F3B0B">
        <w:t xml:space="preserve"> </w:t>
      </w:r>
      <w:r w:rsidR="00B44C2E" w:rsidRPr="003F3B0B">
        <w:t xml:space="preserve">shows the framework for the methodology implemented </w:t>
      </w:r>
      <w:r w:rsidR="001F512F" w:rsidRPr="003F3B0B">
        <w:t>in this paper</w:t>
      </w:r>
      <w:r w:rsidR="00B44C2E" w:rsidRPr="003F3B0B">
        <w:t xml:space="preserve">. Global and local </w:t>
      </w:r>
      <w:r w:rsidR="00A80B05" w:rsidRPr="003F3B0B">
        <w:t>analyses are</w:t>
      </w:r>
      <w:r w:rsidR="00B44C2E" w:rsidRPr="003F3B0B">
        <w:t xml:space="preserve"> combined to predict the fretting fatigue life of the pressure armour wire nub-groove contact. The global analyse</w:t>
      </w:r>
      <w:r w:rsidR="006A6C78" w:rsidRPr="003F3B0B">
        <w:t>s</w:t>
      </w:r>
      <w:r w:rsidR="00B44C2E" w:rsidRPr="003F3B0B">
        <w:t xml:space="preserve"> are conducted using the </w:t>
      </w:r>
      <w:r w:rsidR="001F512F" w:rsidRPr="003F3B0B">
        <w:t xml:space="preserve">finite element </w:t>
      </w:r>
      <w:r w:rsidR="00B44C2E" w:rsidRPr="003F3B0B">
        <w:t xml:space="preserve">software code </w:t>
      </w:r>
      <w:proofErr w:type="spellStart"/>
      <w:r w:rsidR="00B44C2E" w:rsidRPr="003F3B0B">
        <w:t>Flexcom</w:t>
      </w:r>
      <w:proofErr w:type="spellEnd"/>
      <w:r w:rsidR="005E0612" w:rsidRPr="003F3B0B">
        <w:t xml:space="preserve"> </w:t>
      </w:r>
      <w:r w:rsidR="005E0612" w:rsidRPr="003F3B0B" w:rsidDel="005E0612">
        <w:fldChar w:fldCharType="begin" w:fldLock="1"/>
      </w:r>
      <w:r w:rsidR="00EF5D3F" w:rsidRPr="003F3B0B">
        <w:instrText>ADDIN CSL_CITATION { "citationItems" : [ { "id" : "ITEM-1", "itemData" : { "DOI" : "10.4043/13017-MS", "author" : [ { "dropping-particle" : "", "family" : "Lane", "given" : "Michael", "non-dropping-particle" : "", "parse-names" : false, "suffix" : "" }, { "dropping-particle" : "", "family" : "O'Sullivan", "given" : "Tim", "non-dropping-particle" : "", "parse-names" : false, "suffix" : "" }, { "dropping-particle" : "", "family" : "Grealish", "given" : "Frank", "non-dropping-particle" : "", "parse-names" : false, "suffix" : "" }, { "dropping-particle" : "", "family" : "Kavanagh", "given" : "Kieran", "non-dropping-particle" : "", "parse-names" : false, "suffix" : "" }, { "dropping-particle" : "", "family" : "Thompson", "given" : "Hugh", "non-dropping-particle" : "", "parse-names" : false, "suffix" : "" } ], "container-title" : "Offshore Technology Conference", "id" : "ITEM-1", "issue" : "1", "issued" : { "date-parts" : [ [ "2001" ] ] }, "page" : "1-14", "publisher-place" : "Houston, Texas, USA", "title" : "Advanced Frequency Domain Analysis Techniques for Steel Catenary Risers", "type" : "paper-conference" }, "uris" : [ "http://www.mendeley.com/documents/?uuid=9daf2afd-1fa0-4840-9ab8-8f680e241013" ] }, { "id" : "ITEM-2", "itemData" : { "DOI" : "10.1115/OMAE2005-67396", "author" : [ { "dropping-particle" : "", "family" : "Lang", "given" : "Donogh W.", "non-dropping-particle" : "", "parse-names" : false, "suffix" : "" }, { "dropping-particle" : "", "family" : "Connolly", "given" : "Aengus", "non-dropping-particle" : "", "parse-names" : false, "suffix" : "" }, { "dropping-particle" : "", "family" : "Lane", "given" : "Michael", "non-dropping-particle" : "", "parse-names" : false, "suffix" : "" }, { "dropping-particle" : "", "family" : "Connaire", "given" : "A. D.", "non-dropping-particle" : "", "parse-names" : false, "suffix" : "" } ], "container-title" : "International Conference on Offshore Mechanics and Arctic Engineering", "id" : "ITEM-2", "issued" : { "date-parts" : [ [ "2005" ] ] }, "publisher-place" : "Halkidiki, Greese", "title" : "Advances in Frequency and Time Domain Coupled Analysis for Floating Production and Offloading Systems", "type" : "paper-conference" }, "uris" : [ "http://www.mendeley.com/documents/?uuid=83eeba58-2eae-4c40-8cbb-6f2eda6b9a40" ] }, { "id" : "ITEM-3", "itemData" : { "DOI" : "10.1115/OMAE2002-28237", "author" : [ { "dropping-particle" : "", "family" : "O'Brien", "given" : "P.J.", "non-dropping-particle" : "", "parse-names" : false, "suffix" : "" }, { "dropping-particle" : "", "family" : "Lane", "given" : "M.", "non-dropping-particle" : "", "parse-names" : false, "suffix" : "" }, { "dropping-particle" : "", "family" : "McNamara", "given" : "J.F.", "non-dropping-particle" : "", "parse-names" : false, "suffix" : "" } ], "container-title" : "International Conference on Offshore Mechanics and Arctic Engineering", "id" : "ITEM-3", "issued" : { "date-parts" : [ [ "2002" ] ] }, "publisher-place" : "Oslo, Norway", "title" : "Improvements to the convected co-ordinates method for predicting large deflection extreme riser response", "type" : "paper-conference" }, "uris" : [ "http://www.mendeley.com/documents/?uuid=2aedf69d-2b58-4cbe-8718-6357e1826409" ] }, { "id" : "ITEM-4", "itemData" : { "DOI" : "10.1115/OMAE2003-37372", "author" : [ { "dropping-particle" : "", "family" : "O'Brien", "given" : "P.J.", "non-dropping-particle" : "", "parse-names" : false, "suffix" : "" }, { "dropping-particle" : "", "family" : "McNamara", "given" : "J.F.", "non-dropping-particle" : "", "parse-names" : false, "suffix" : "" }, { "dropping-particle" : "", "family" : "Lane", "given" : "", "non-dropping-particle" : "", "parse-names" : false, "suffix" : "" } ], "container-title" : "International Conference on Offshore Mechanics and Arctic Engineering", "id" : "ITEM-4", "issued" : { "date-parts" : [ [ "2003" ] ] }, "publisher-place" : "Cancun, Mexico", "title" : "Three dimensional finite displacements and rotations of flexible beams including non-equal bending stiffnesses", "type" : "paper-conference" }, "uris" : [ "http://www.mendeley.com/documents/?uuid=2d70383c-d692-4725-a550-d6e706d5d666" ] }, { "id" : "ITEM-5", "itemData" : { "DOI" : "10.1115/OMAE2007-29276", "author" : [ { "dropping-particle" : "", "family" : "Smith", "given" : "Russell", "non-dropping-particle" : "", "parse-names" : false, "suffix" : "" }, { "dropping-particle" : "", "family" : "Carr", "given" : "Tommie", "non-dropping-particle" : "", "parse-names" : false, "suffix" : "" }, { "dropping-particle" : "", "family" : "Lane", "given" : "Michael", "non-dropping-particle" : "", "parse-names" : false, "suffix" : "" } ], "container-title" : "International Conference on Offshore Mechanics and Arctic Engineering", "id" : "ITEM-5", "issued" : { "date-parts" : [ [ "2007" ] ] }, "publisher-place" : "San Diego, California, USA", "title" : "Computational tool for the dynamic analysis of flexible risers incorporating benging hysteresis", "type" : "paper-conference" }, "uris" : [ "http://www.mendeley.com/documents/?uuid=d4d8fbfa-434b-44d8-91e0-a7adf551e7ff" ] }, { "id" : "ITEM-6", "itemData" : { "DOI" : "10.1016/j.ijnonlinmec.2014.10.021", "author" : [ { "dropping-particle" : "", "family" : "Connaire", "given" : "A.", "non-dropping-particle" : "", "parse-names" : false, "suffix" : "" }, { "dropping-particle" : "", "family" : "O'Brien", "given" : "P.", "non-dropping-particle" : "", "parse-names" : false, "suffix" : "" }, { "dropping-particle" : "", "family" : "Harte", "given" : "A.M.", "non-dropping-particle" : "", "parse-names" : false, "suffix" : "" }, { "dropping-particle" : "", "family" : "O'Connor", "given" : "A.", "non-dropping-particle" : "", "parse-names" : false, "suffix" : "" } ], "container-title" : "Internation Journal of Non-Linear Mechanics", "id" : "ITEM-6", "issued" : { "date-parts" : [ [ "2015" ] ] }, "page" : "47-62", "title" : "Advancements in subsea riser analysis using quasi-rotations and the Newton-Raphson method", "type" : "article-journal", "volume" : "70" }, "uris" : [ "http://www.mendeley.com/documents/?uuid=2b16a0ff-5ee2-4c8c-b6f4-35f2c5d49828" ] } ], "mendeley" : { "formattedCitation" : "[29\u201334]", "plainTextFormattedCitation" : "[29\u201334]", "previouslyFormattedCitation" : "[29\u201334]" }, "properties" : { "noteIndex" : 6 }, "schema" : "https://github.com/citation-style-language/schema/raw/master/csl-citation.json" }</w:instrText>
      </w:r>
      <w:r w:rsidR="005E0612" w:rsidRPr="003F3B0B" w:rsidDel="005E0612">
        <w:fldChar w:fldCharType="separate"/>
      </w:r>
      <w:r w:rsidR="00EF5D3F" w:rsidRPr="003F3B0B">
        <w:rPr>
          <w:noProof/>
        </w:rPr>
        <w:t>[29–34]</w:t>
      </w:r>
      <w:r w:rsidR="005E0612" w:rsidRPr="003F3B0B" w:rsidDel="005E0612">
        <w:fldChar w:fldCharType="end"/>
      </w:r>
      <w:r w:rsidR="00B44C2E" w:rsidRPr="003F3B0B">
        <w:t xml:space="preserve">, to predict dynamic riser response, such as time histories of axial tension, </w:t>
      </w:r>
      <w:r w:rsidR="00B44C2E" w:rsidRPr="003F3B0B">
        <w:rPr>
          <w:i/>
        </w:rPr>
        <w:t>F</w:t>
      </w:r>
      <w:r w:rsidR="00B44C2E" w:rsidRPr="003F3B0B">
        <w:t>(</w:t>
      </w:r>
      <w:r w:rsidR="00B44C2E" w:rsidRPr="003F3B0B">
        <w:rPr>
          <w:i/>
        </w:rPr>
        <w:t>t</w:t>
      </w:r>
      <w:r w:rsidR="00B44C2E" w:rsidRPr="003F3B0B">
        <w:t xml:space="preserve">), and riser curvature, </w:t>
      </w:r>
      <w:r w:rsidR="00B44C2E" w:rsidRPr="003F3B0B">
        <w:rPr>
          <w:rFonts w:cs="Times New Roman"/>
          <w:i/>
        </w:rPr>
        <w:t>κ</w:t>
      </w:r>
      <w:r w:rsidR="00B44C2E" w:rsidRPr="003F3B0B">
        <w:t>(</w:t>
      </w:r>
      <w:r w:rsidR="00B44C2E" w:rsidRPr="003F3B0B">
        <w:rPr>
          <w:i/>
        </w:rPr>
        <w:t>t</w:t>
      </w:r>
      <w:r w:rsidR="00B44C2E" w:rsidRPr="003F3B0B">
        <w:t xml:space="preserve">), in response to dynamically-imposed vessel motion and sea-state loading conditions. Geometrical and analytical models are used to identify </w:t>
      </w:r>
      <w:r w:rsidR="006A6C78" w:rsidRPr="003F3B0B">
        <w:t xml:space="preserve">the </w:t>
      </w:r>
      <w:r w:rsidR="00B44C2E" w:rsidRPr="003F3B0B">
        <w:t xml:space="preserve">local FE (axisymmetric) riser model loading conditions, </w:t>
      </w:r>
      <w:r w:rsidR="006A6C78" w:rsidRPr="003F3B0B">
        <w:t>specifically</w:t>
      </w:r>
      <w:r w:rsidR="00B44C2E" w:rsidRPr="003F3B0B">
        <w:t xml:space="preserve"> applied displacement, </w:t>
      </w:r>
      <w:proofErr w:type="spellStart"/>
      <w:r w:rsidR="00B44C2E" w:rsidRPr="003F3B0B">
        <w:rPr>
          <w:rFonts w:cs="Times New Roman"/>
          <w:i/>
        </w:rPr>
        <w:t>Δ</w:t>
      </w:r>
      <w:r w:rsidR="00B44C2E" w:rsidRPr="003F3B0B">
        <w:rPr>
          <w:rFonts w:cs="Times New Roman"/>
          <w:vertAlign w:val="subscript"/>
        </w:rPr>
        <w:t>app</w:t>
      </w:r>
      <w:proofErr w:type="spellEnd"/>
      <w:r w:rsidR="00B44C2E" w:rsidRPr="003F3B0B">
        <w:t>(</w:t>
      </w:r>
      <w:r w:rsidR="00B44C2E" w:rsidRPr="003F3B0B">
        <w:rPr>
          <w:i/>
        </w:rPr>
        <w:t>t</w:t>
      </w:r>
      <w:r w:rsidR="00B44C2E" w:rsidRPr="003F3B0B">
        <w:t>)</w:t>
      </w:r>
      <w:r w:rsidR="006A6C78" w:rsidRPr="003F3B0B">
        <w:t>,</w:t>
      </w:r>
      <w:r w:rsidR="00B44C2E" w:rsidRPr="003F3B0B">
        <w:t xml:space="preserve"> additional pressure </w:t>
      </w:r>
      <w:r w:rsidR="00B44C2E" w:rsidRPr="003F3B0B">
        <w:rPr>
          <w:i/>
        </w:rPr>
        <w:t>p</w:t>
      </w:r>
      <w:r w:rsidR="00B44C2E" w:rsidRPr="003F3B0B">
        <w:rPr>
          <w:vertAlign w:val="subscript"/>
        </w:rPr>
        <w:t>a</w:t>
      </w:r>
      <w:r w:rsidR="00B44C2E" w:rsidRPr="003F3B0B">
        <w:t>(</w:t>
      </w:r>
      <w:r w:rsidR="00B44C2E" w:rsidRPr="003F3B0B">
        <w:rPr>
          <w:i/>
        </w:rPr>
        <w:t>t</w:t>
      </w:r>
      <w:r w:rsidR="00B44C2E" w:rsidRPr="003F3B0B">
        <w:t xml:space="preserve">), based on global riser curvature, </w:t>
      </w:r>
      <w:r w:rsidR="00B44C2E" w:rsidRPr="003F3B0B">
        <w:rPr>
          <w:rFonts w:cs="Times New Roman"/>
        </w:rPr>
        <w:t>κ(</w:t>
      </w:r>
      <w:r w:rsidR="00B44C2E" w:rsidRPr="003F3B0B">
        <w:rPr>
          <w:rFonts w:cs="Times New Roman"/>
          <w:i/>
        </w:rPr>
        <w:t>t</w:t>
      </w:r>
      <w:r w:rsidR="00B44C2E" w:rsidRPr="003F3B0B">
        <w:rPr>
          <w:rFonts w:cs="Times New Roman"/>
        </w:rPr>
        <w:t xml:space="preserve">), and axial tension, </w:t>
      </w:r>
      <w:r w:rsidR="00B44C2E" w:rsidRPr="003F3B0B">
        <w:rPr>
          <w:rFonts w:cs="Times New Roman"/>
          <w:i/>
        </w:rPr>
        <w:t>F</w:t>
      </w:r>
      <w:r w:rsidR="00B44C2E" w:rsidRPr="003F3B0B">
        <w:rPr>
          <w:rFonts w:cs="Times New Roman"/>
        </w:rPr>
        <w:t>(</w:t>
      </w:r>
      <w:r w:rsidR="00B44C2E" w:rsidRPr="003F3B0B">
        <w:rPr>
          <w:rFonts w:cs="Times New Roman"/>
          <w:i/>
        </w:rPr>
        <w:t>t</w:t>
      </w:r>
      <w:r w:rsidR="00B44C2E" w:rsidRPr="003F3B0B">
        <w:rPr>
          <w:rFonts w:cs="Times New Roman"/>
        </w:rPr>
        <w:t xml:space="preserve">), respectively, as shown in the flowchart of </w:t>
      </w:r>
      <w:r w:rsidRPr="003F3B0B">
        <w:fldChar w:fldCharType="begin"/>
      </w:r>
      <w:r w:rsidRPr="003F3B0B">
        <w:instrText xml:space="preserve"> REF _Ref11236066 \h </w:instrText>
      </w:r>
      <w:r w:rsidRPr="003F3B0B">
        <w:fldChar w:fldCharType="separate"/>
      </w:r>
      <w:r w:rsidR="003D1AA2" w:rsidRPr="003F3B0B">
        <w:t xml:space="preserve">Figure </w:t>
      </w:r>
      <w:r w:rsidR="003D1AA2" w:rsidRPr="003F3B0B">
        <w:rPr>
          <w:noProof/>
        </w:rPr>
        <w:t>2</w:t>
      </w:r>
      <w:r w:rsidRPr="003F3B0B">
        <w:fldChar w:fldCharType="end"/>
      </w:r>
      <w:r w:rsidR="00B44C2E" w:rsidRPr="003F3B0B">
        <w:rPr>
          <w:rFonts w:cs="Times New Roman"/>
        </w:rPr>
        <w:t xml:space="preserve">. </w:t>
      </w:r>
      <w:r w:rsidR="00B44C2E" w:rsidRPr="003F3B0B">
        <w:t xml:space="preserve">Local nub-groove fretting contact is analysed using </w:t>
      </w:r>
      <w:r w:rsidR="006A6C78" w:rsidRPr="003F3B0B">
        <w:t xml:space="preserve">an </w:t>
      </w:r>
      <w:r w:rsidR="00B44C2E" w:rsidRPr="003F3B0B">
        <w:t xml:space="preserve">FE axisymmetric model, as described </w:t>
      </w:r>
      <w:r w:rsidR="001F512F" w:rsidRPr="003F3B0B">
        <w:t xml:space="preserve">previously by the authors </w:t>
      </w:r>
      <w:r w:rsidR="001F512F" w:rsidRPr="003F3B0B">
        <w:fldChar w:fldCharType="begin" w:fldLock="1"/>
      </w:r>
      <w:r w:rsidR="00EF5D3F" w:rsidRPr="003F3B0B">
        <w:instrText>ADDIN CSL_CITATION { "citationItems" : [ { "id" : "ITEM-1", "itemData" : { "DOI" : "10.1016/j.triboint.2016.02.040", "ISSN" : "0301679X", "abstract" : "This paper presents a computational methodology for frictional contact mechanics of the pressure armour layer in flexible risers. This will allow, for the first time, quantification of key fretting variables, such as contact pressure, relative slip and sub-surface stresses in this complex geometry, under representative loading conditions. Fatigue lives are calculated using the 3-dimensional critical plane Smith\u2013Watson\u2013Topper multiaxial fatigue parameter. It is shown that COF has a significant effect on predicted trailing-edge tensile stresses in the pressure armour layer and, hence on fretting crack initiation in risers. It is also shown that operating pressure and bending-induced axial displacement significantly affect predicted crack initiation. These results will facilitate representative fretting wear and fretting fatigue testing of pressure armour layer material.", "author" : [ { "dropping-particle" : "", "family" : "O\u2019Halloran", "given" : "S.M.", "non-dropping-particle" : "", "parse-names" : false, "suffix" : "" }, { "dropping-particle" : "", "family" : "Harte", "given" : "A.M.", "non-dropping-particle" : "", "parse-names" : false, "suffix" : "" }, { "dropping-particle" : "", "family" : "Connaire", "given" : "A.D.", "non-dropping-particle" : "", "parse-names" : false, "suffix" : "" }, { "dropping-particle" : "", "family" : "Leen", "given" : "S.B.", "non-dropping-particle" : "", "parse-names" : false, "suffix" : "" } ], "container-title" : "Tribology International", "id" : "ITEM-1", "issued" : { "date-parts" : [ [ "2016", "3" ] ] }, "page" : "306-316", "title" : "Modelling of fretting in the pressure armour layer of flexible marine risers", "type" : "article-journal", "volume" : "100" }, "uris" : [ "http://www.mendeley.com/documents/?uuid=b80948ad-fca6-4929-8343-b20fd51894bb" ] } ], "mendeley" : { "formattedCitation" : "[22]", "plainTextFormattedCitation" : "[22]", "previouslyFormattedCitation" : "[22]" }, "properties" : { "noteIndex" : 4 }, "schema" : "https://github.com/citation-style-language/schema/raw/master/csl-citation.json" }</w:instrText>
      </w:r>
      <w:r w:rsidR="001F512F" w:rsidRPr="003F3B0B">
        <w:fldChar w:fldCharType="separate"/>
      </w:r>
      <w:r w:rsidR="00EF5D3F" w:rsidRPr="003F3B0B">
        <w:rPr>
          <w:noProof/>
        </w:rPr>
        <w:t>[22]</w:t>
      </w:r>
      <w:r w:rsidR="001F512F" w:rsidRPr="003F3B0B">
        <w:fldChar w:fldCharType="end"/>
      </w:r>
      <w:r w:rsidR="00B44C2E" w:rsidRPr="003F3B0B">
        <w:t xml:space="preserve">. Fretting fatigue life is predicted from the resulting contact stresses, slips and surface traction </w:t>
      </w:r>
      <w:r w:rsidR="00B44C2E" w:rsidRPr="003F3B0B">
        <w:rPr>
          <w:noProof/>
        </w:rPr>
        <w:t>results</w:t>
      </w:r>
      <w:r w:rsidR="00B44C2E" w:rsidRPr="003F3B0B">
        <w:t xml:space="preserve"> using the </w:t>
      </w:r>
      <w:r w:rsidR="00B44C2E" w:rsidRPr="003F3B0B">
        <w:rPr>
          <w:noProof/>
        </w:rPr>
        <w:t>D</w:t>
      </w:r>
      <w:r w:rsidR="00B44C2E" w:rsidRPr="003F3B0B">
        <w:rPr>
          <w:noProof/>
          <w:vertAlign w:val="subscript"/>
        </w:rPr>
        <w:t>fret</w:t>
      </w:r>
      <w:r w:rsidR="001F512F" w:rsidRPr="003F3B0B">
        <w:t xml:space="preserve">-SWT parameter, </w:t>
      </w:r>
      <w:r w:rsidR="006A6C78" w:rsidRPr="003F3B0B">
        <w:t xml:space="preserve">also </w:t>
      </w:r>
      <w:r w:rsidR="001F512F" w:rsidRPr="003F3B0B">
        <w:t xml:space="preserve">previously </w:t>
      </w:r>
      <w:r w:rsidR="006A6C78" w:rsidRPr="003F3B0B">
        <w:t>presented</w:t>
      </w:r>
      <w:r w:rsidR="00570A70" w:rsidRPr="003F3B0B">
        <w:t xml:space="preserve"> </w:t>
      </w:r>
      <w:r w:rsidR="001F512F" w:rsidRPr="003F3B0B">
        <w:t xml:space="preserve">by the authors </w:t>
      </w:r>
      <w:r w:rsidR="001F512F" w:rsidRPr="003F3B0B">
        <w:fldChar w:fldCharType="begin" w:fldLock="1"/>
      </w:r>
      <w:r w:rsidR="00EF5D3F" w:rsidRPr="003F3B0B">
        <w:instrText>ADDIN CSL_CITATION { "citationItems" : [ { "id" : "ITEM-1", "itemData" : { "DOI" : "10.1016/J.TRIBOINT.2016.10.020", "ISSN" : "0301-679X", "abstract" : "This paper presents a combined experimental and computational methodology for fretting wear-fatigue prediction of pressure armour wire in flexible marine risers. Fretting wear, friction and fatigue parameters of pressure armour material have been characterised experimentally. A combined fretting wear-fatigue finite element model has been developed using an adaptive meshing technique and the effect of bending-induced tangential slip has been characterised. It has been shown that a surface damage parameter combined with a multiaxial fatigue parameter can accurately predict the beneficial effect of fretting wear on fatigue predictions. This provides a computationally efficient design tool for fretting in the pressure armour layer of flexible marine risers.", "author" : [ { "dropping-particle" : "", "family" : "O\u2019Halloran", "given" : "S.M.", "non-dropping-particle" : "", "parse-names" : false, "suffix" : "" }, { "dropping-particle" : "", "family" : "Shipway", "given" : "P.H.", "non-dropping-particle" : "", "parse-names" : false, "suffix" : "" }, { "dropping-particle" : "", "family" : "Connaire", "given" : "A.D.", "non-dropping-particle" : "", "parse-names" : false, "suffix" : "" }, { "dropping-particle" : "", "family" : "Leen", "given" : "S.B.", "non-dropping-particle" : "", "parse-names" : false, "suffix" : "" }, { "dropping-particle" : "", "family" : "Harte", "given" : "A.M.", "non-dropping-particle" : "", "parse-names" : false, "suffix" : "" } ], "container-title" : "Tribology International", "id" : "ITEM-1", "issued" : { "date-parts" : [ [ "2017", "4" ] ] }, "page" : "7-15", "publisher" : "Elsevier", "title" : "A combined wear-fatigue design methodology for fretting in the pressure armour layer of flexible marine risers", "type" : "article-journal", "volume" : "108" }, "uris" : [ "http://www.mendeley.com/documents/?uuid=185157f9-3db6-4b4e-b1c3-f959292fae47" ] } ], "mendeley" : { "formattedCitation" : "[23]", "plainTextFormattedCitation" : "[23]", "previouslyFormattedCitation" : "[23]" }, "properties" : { "noteIndex" : 4 }, "schema" : "https://github.com/citation-style-language/schema/raw/master/csl-citation.json" }</w:instrText>
      </w:r>
      <w:r w:rsidR="001F512F" w:rsidRPr="003F3B0B">
        <w:fldChar w:fldCharType="separate"/>
      </w:r>
      <w:r w:rsidR="00EF5D3F" w:rsidRPr="003F3B0B">
        <w:rPr>
          <w:noProof/>
        </w:rPr>
        <w:t>[23]</w:t>
      </w:r>
      <w:r w:rsidR="001F512F" w:rsidRPr="003F3B0B">
        <w:fldChar w:fldCharType="end"/>
      </w:r>
      <w:r w:rsidR="00B44C2E" w:rsidRPr="003F3B0B">
        <w:t xml:space="preserve">. Hence, wear is not explicitly modelled, thus reducing the computational time for local fretting </w:t>
      </w:r>
      <w:r w:rsidR="00B44C2E" w:rsidRPr="003F3B0B">
        <w:lastRenderedPageBreak/>
        <w:t>analysis. Crack propagation is estimated using a weight function approach and hence, total life is obtained for the fretting regions of the risers.</w:t>
      </w:r>
    </w:p>
    <w:p w14:paraId="6D7D98F5" w14:textId="77777777" w:rsidR="009C264C" w:rsidRPr="003F3B0B" w:rsidRDefault="009C264C" w:rsidP="00AE3B0E"/>
    <w:p w14:paraId="580201A6" w14:textId="77777777" w:rsidR="00AE3B0E" w:rsidRPr="003F3B0B" w:rsidRDefault="00AE3B0E" w:rsidP="00AE3B0E">
      <w:pPr>
        <w:pStyle w:val="Heading1"/>
      </w:pPr>
      <w:r w:rsidRPr="003F3B0B">
        <w:t>Global Riser Analysis</w:t>
      </w:r>
    </w:p>
    <w:p w14:paraId="60062EBF" w14:textId="77777777" w:rsidR="00AE3B0E" w:rsidRPr="003F3B0B" w:rsidRDefault="00AE3B0E" w:rsidP="00AE3B0E">
      <w:pPr>
        <w:pStyle w:val="Heading2"/>
      </w:pPr>
      <w:r w:rsidRPr="003F3B0B">
        <w:t>General</w:t>
      </w:r>
    </w:p>
    <w:p w14:paraId="683C2F60" w14:textId="019136D2" w:rsidR="00B44C2E" w:rsidRPr="003F3B0B" w:rsidRDefault="00B44C2E" w:rsidP="00B44C2E">
      <w:r w:rsidRPr="003F3B0B">
        <w:t>This study focuses on a single line hybrid riser (SLHR) with a flexible riser jumper connecting to a floating production, storage and offloading vessel (FPSO) as shown schematically in</w:t>
      </w:r>
      <w:r w:rsidR="004A31A7" w:rsidRPr="003F3B0B">
        <w:t xml:space="preserve"> </w:t>
      </w:r>
      <w:r w:rsidR="004A31A7" w:rsidRPr="003F3B0B">
        <w:fldChar w:fldCharType="begin"/>
      </w:r>
      <w:r w:rsidR="004A31A7" w:rsidRPr="003F3B0B">
        <w:instrText xml:space="preserve"> REF _Ref11241889 \h </w:instrText>
      </w:r>
      <w:r w:rsidR="004A31A7" w:rsidRPr="003F3B0B">
        <w:fldChar w:fldCharType="separate"/>
      </w:r>
      <w:r w:rsidR="003D1AA2" w:rsidRPr="003F3B0B">
        <w:t xml:space="preserve">Figure </w:t>
      </w:r>
      <w:r w:rsidR="003D1AA2" w:rsidRPr="003F3B0B">
        <w:rPr>
          <w:noProof/>
        </w:rPr>
        <w:t>3</w:t>
      </w:r>
      <w:r w:rsidR="004A31A7" w:rsidRPr="003F3B0B">
        <w:fldChar w:fldCharType="end"/>
      </w:r>
      <w:r w:rsidRPr="003F3B0B">
        <w:t>; three different dynamic flexible riser jumper geometries</w:t>
      </w:r>
      <w:r w:rsidR="00FF68D5" w:rsidRPr="003F3B0B">
        <w:t xml:space="preserve"> (internal diameters)</w:t>
      </w:r>
      <w:r w:rsidRPr="003F3B0B">
        <w:t xml:space="preserve"> </w:t>
      </w:r>
      <w:r w:rsidR="005E0612" w:rsidRPr="003F3B0B">
        <w:t>are</w:t>
      </w:r>
      <w:r w:rsidRPr="003F3B0B">
        <w:t xml:space="preserve"> analysed</w:t>
      </w:r>
      <w:r w:rsidR="005E0612" w:rsidRPr="003F3B0B">
        <w:t xml:space="preserve"> (see </w:t>
      </w:r>
      <w:r w:rsidR="005E0612" w:rsidRPr="003F3B0B">
        <w:fldChar w:fldCharType="begin"/>
      </w:r>
      <w:r w:rsidR="005E0612" w:rsidRPr="003F3B0B">
        <w:instrText xml:space="preserve"> REF _Ref11249829 \h </w:instrText>
      </w:r>
      <w:r w:rsidR="005E0612" w:rsidRPr="003F3B0B">
        <w:fldChar w:fldCharType="separate"/>
      </w:r>
      <w:r w:rsidR="003D1AA2" w:rsidRPr="003F3B0B">
        <w:t xml:space="preserve">Table </w:t>
      </w:r>
      <w:r w:rsidR="003D1AA2" w:rsidRPr="003F3B0B">
        <w:rPr>
          <w:noProof/>
        </w:rPr>
        <w:t>1</w:t>
      </w:r>
      <w:r w:rsidR="005E0612" w:rsidRPr="003F3B0B">
        <w:fldChar w:fldCharType="end"/>
      </w:r>
      <w:r w:rsidR="005E0612" w:rsidRPr="003F3B0B">
        <w:t>)</w:t>
      </w:r>
      <w:r w:rsidRPr="003F3B0B">
        <w:t xml:space="preserve">. The water depth from the </w:t>
      </w:r>
      <w:r w:rsidRPr="003F3B0B">
        <w:rPr>
          <w:noProof/>
        </w:rPr>
        <w:t>sea</w:t>
      </w:r>
      <w:r w:rsidRPr="003F3B0B">
        <w:t>bed to MSWL (mean sea water level, as shown in</w:t>
      </w:r>
      <w:r w:rsidR="004A31A7" w:rsidRPr="003F3B0B">
        <w:t xml:space="preserve"> </w:t>
      </w:r>
      <w:r w:rsidR="004A31A7" w:rsidRPr="003F3B0B">
        <w:fldChar w:fldCharType="begin"/>
      </w:r>
      <w:r w:rsidR="004A31A7" w:rsidRPr="003F3B0B">
        <w:instrText xml:space="preserve"> REF _Ref11241889 \h </w:instrText>
      </w:r>
      <w:r w:rsidR="004A31A7" w:rsidRPr="003F3B0B">
        <w:fldChar w:fldCharType="separate"/>
      </w:r>
      <w:r w:rsidR="003D1AA2" w:rsidRPr="003F3B0B">
        <w:t xml:space="preserve">Figure </w:t>
      </w:r>
      <w:r w:rsidR="003D1AA2" w:rsidRPr="003F3B0B">
        <w:rPr>
          <w:noProof/>
        </w:rPr>
        <w:t>3</w:t>
      </w:r>
      <w:r w:rsidR="004A31A7" w:rsidRPr="003F3B0B">
        <w:fldChar w:fldCharType="end"/>
      </w:r>
      <w:r w:rsidRPr="003F3B0B">
        <w:t>) is 2030 m. This is close to the boundary between what is considered to be deep and ultra-deep (&gt; 2,133 m) drilling. As oil reserves in shallower waters deplete, the oil and gas industry are pushed to extract oil at depths once considered too deep for hydrocarbon exploration and extraction. The configuration of SLHR with riser jumpers is often used to extract hydrocarbons at ultra-deep seas</w:t>
      </w:r>
      <w:r w:rsidR="005E0612" w:rsidRPr="003F3B0B">
        <w:t>.</w:t>
      </w:r>
      <w:r w:rsidRPr="003F3B0B">
        <w:t xml:space="preserve"> </w:t>
      </w:r>
      <w:r w:rsidR="005E0612" w:rsidRPr="003F3B0B">
        <w:t>T</w:t>
      </w:r>
      <w:r w:rsidRPr="003F3B0B">
        <w:t>he flexible riser jumpers fully decouple the SLHR from vessel motions; the vessel motions</w:t>
      </w:r>
      <w:r w:rsidR="005E0612" w:rsidRPr="003F3B0B">
        <w:t>,</w:t>
      </w:r>
      <w:r w:rsidRPr="003F3B0B">
        <w:t xml:space="preserve"> </w:t>
      </w:r>
      <w:r w:rsidR="005E0612" w:rsidRPr="003F3B0B">
        <w:t xml:space="preserve">in turn, </w:t>
      </w:r>
      <w:r w:rsidRPr="003F3B0B">
        <w:t xml:space="preserve">are decoupled from the </w:t>
      </w:r>
      <w:r w:rsidRPr="003F3B0B">
        <w:rPr>
          <w:noProof/>
        </w:rPr>
        <w:t>wellhead</w:t>
      </w:r>
      <w:r w:rsidRPr="003F3B0B">
        <w:t xml:space="preserve"> at the </w:t>
      </w:r>
      <w:r w:rsidRPr="003F3B0B">
        <w:rPr>
          <w:noProof/>
        </w:rPr>
        <w:t>seabed</w:t>
      </w:r>
      <w:r w:rsidRPr="003F3B0B">
        <w:t>, making hydrocarbon extraction safer.</w:t>
      </w:r>
    </w:p>
    <w:p w14:paraId="67F2557B" w14:textId="00082944" w:rsidR="00B44C2E" w:rsidRPr="003F3B0B" w:rsidRDefault="00B44C2E" w:rsidP="00B44C2E">
      <w:r w:rsidRPr="003F3B0B">
        <w:t xml:space="preserve">Cyclic loading </w:t>
      </w:r>
      <w:r w:rsidR="005E0612" w:rsidRPr="003F3B0B">
        <w:t>of</w:t>
      </w:r>
      <w:r w:rsidRPr="003F3B0B">
        <w:t xml:space="preserve"> dynamic flexible risers due to wave and current loading </w:t>
      </w:r>
      <w:r w:rsidR="005E0612" w:rsidRPr="003F3B0B">
        <w:t xml:space="preserve">induce </w:t>
      </w:r>
      <w:r w:rsidRPr="003F3B0B">
        <w:t>axial tension and curvature variations along the risers, leading to micro-scale motion between nub-groove contacts in the pressure armour wires. The full study of the behaviour of the flexible dynamic jumpers requires the consideration of long</w:t>
      </w:r>
      <w:r w:rsidR="005F3E37" w:rsidRPr="003F3B0B">
        <w:t>-</w:t>
      </w:r>
      <w:r w:rsidRPr="003F3B0B">
        <w:t xml:space="preserve">term cyclic loading. </w:t>
      </w:r>
    </w:p>
    <w:p w14:paraId="0FA61824" w14:textId="77777777" w:rsidR="00FC747C" w:rsidRPr="003F3B0B" w:rsidRDefault="00FC747C" w:rsidP="00B44C2E"/>
    <w:p w14:paraId="71F8E1C9" w14:textId="77777777" w:rsidR="00AE3B0E" w:rsidRPr="003F3B0B" w:rsidRDefault="00AE3B0E" w:rsidP="00AE3B0E">
      <w:pPr>
        <w:pStyle w:val="Heading2"/>
      </w:pPr>
      <w:r w:rsidRPr="003F3B0B">
        <w:t>Riser configuration and geometrical properties</w:t>
      </w:r>
    </w:p>
    <w:p w14:paraId="73FACB83" w14:textId="0B1F53FE" w:rsidR="00B44C2E" w:rsidRPr="003F3B0B" w:rsidRDefault="00B44C2E" w:rsidP="00B44C2E">
      <w:r w:rsidRPr="003F3B0B">
        <w:lastRenderedPageBreak/>
        <w:t xml:space="preserve">The FPSO and SLHR hang-off points are typically critical sections for fatigue along the flexible riser due to the high tensions and curvature variation. </w:t>
      </w:r>
      <w:r w:rsidR="000B6AFC" w:rsidRPr="003F3B0B">
        <w:t>The s</w:t>
      </w:r>
      <w:r w:rsidRPr="003F3B0B">
        <w:t xml:space="preserve">ag bend location </w:t>
      </w:r>
      <w:r w:rsidRPr="003F3B0B">
        <w:rPr>
          <w:noProof/>
        </w:rPr>
        <w:t>can also be</w:t>
      </w:r>
      <w:r w:rsidRPr="003F3B0B">
        <w:t xml:space="preserve"> critical for fatigue, due to the high curvature variation in this area. However, the full length of the risers is analysed here since critical fretting conditions (PS) may not necessarily coincide with the locations of maximum loading or displacement. </w:t>
      </w:r>
    </w:p>
    <w:p w14:paraId="775E4537" w14:textId="0D079168" w:rsidR="00B44C2E" w:rsidRPr="003F3B0B" w:rsidRDefault="00A80B05" w:rsidP="00B44C2E">
      <w:r w:rsidRPr="003F3B0B">
        <w:t>For t</w:t>
      </w:r>
      <w:r w:rsidR="00B44C2E" w:rsidRPr="003F3B0B">
        <w:t>he three flexible riser jumper geometries (11 inch, 9 inch and 6 inch) investigated here</w:t>
      </w:r>
      <w:r w:rsidRPr="003F3B0B">
        <w:t>,</w:t>
      </w:r>
      <w:r w:rsidR="00B44C2E" w:rsidRPr="003F3B0B">
        <w:t xml:space="preserve"> </w:t>
      </w:r>
      <w:r w:rsidRPr="003F3B0B">
        <w:t>t</w:t>
      </w:r>
      <w:r w:rsidR="00B44C2E" w:rsidRPr="003F3B0B">
        <w:t xml:space="preserve">he inner diameter is based on the required capacity and internal pressure of the riser. The external diameter is used for calculation of drag and buoyancy of the riser. The internal diameter and pipe mass </w:t>
      </w:r>
      <w:r w:rsidR="00B44C2E" w:rsidRPr="003F3B0B">
        <w:rPr>
          <w:noProof/>
        </w:rPr>
        <w:t>are</w:t>
      </w:r>
      <w:r w:rsidR="00B44C2E" w:rsidRPr="003F3B0B">
        <w:t xml:space="preserve"> used to calculate the buoyancy contribution of the internal fluid; the pipe mass also influences the resultant axial force. The internal fluid properties (density and internal pressure) for each riser jumper are also provided in </w:t>
      </w:r>
      <w:r w:rsidR="003D3FD0" w:rsidRPr="003F3B0B">
        <w:fldChar w:fldCharType="begin"/>
      </w:r>
      <w:r w:rsidR="003D3FD0" w:rsidRPr="003F3B0B">
        <w:instrText xml:space="preserve"> REF _Ref11249829 \h </w:instrText>
      </w:r>
      <w:r w:rsidR="003D3FD0" w:rsidRPr="003F3B0B">
        <w:fldChar w:fldCharType="separate"/>
      </w:r>
      <w:r w:rsidR="003D1AA2" w:rsidRPr="003F3B0B">
        <w:t xml:space="preserve">Table </w:t>
      </w:r>
      <w:r w:rsidR="003D1AA2" w:rsidRPr="003F3B0B">
        <w:rPr>
          <w:noProof/>
        </w:rPr>
        <w:t>1</w:t>
      </w:r>
      <w:r w:rsidR="003D3FD0" w:rsidRPr="003F3B0B">
        <w:fldChar w:fldCharType="end"/>
      </w:r>
      <w:r w:rsidR="00B44C2E" w:rsidRPr="003F3B0B">
        <w:t>.</w:t>
      </w:r>
      <w:r w:rsidR="004D2DB9" w:rsidRPr="003F3B0B">
        <w:t xml:space="preserve"> These fluid densities and pressures correspond to fluids that are typical </w:t>
      </w:r>
      <w:r w:rsidRPr="003F3B0B">
        <w:t>of</w:t>
      </w:r>
      <w:r w:rsidR="004D2DB9" w:rsidRPr="003F3B0B">
        <w:t xml:space="preserve"> offshore oil and gas extraction, such as </w:t>
      </w:r>
      <w:r w:rsidR="008C51CF" w:rsidRPr="003F3B0B">
        <w:t>water and</w:t>
      </w:r>
      <w:r w:rsidR="004D2DB9" w:rsidRPr="003F3B0B">
        <w:t xml:space="preserve"> gas </w:t>
      </w:r>
      <w:r w:rsidR="008C51CF" w:rsidRPr="003F3B0B">
        <w:t>injection</w:t>
      </w:r>
      <w:r w:rsidR="004D2DB9" w:rsidRPr="003F3B0B">
        <w:t>.</w:t>
      </w:r>
      <w:r w:rsidR="00B44C2E" w:rsidRPr="003F3B0B">
        <w:t xml:space="preserve"> Other geometric properties used for the global riser analysis are provided in </w:t>
      </w:r>
      <w:r w:rsidR="003D3FD0" w:rsidRPr="003F3B0B">
        <w:fldChar w:fldCharType="begin"/>
      </w:r>
      <w:r w:rsidR="003D3FD0" w:rsidRPr="003F3B0B">
        <w:instrText xml:space="preserve"> REF _Ref11249867 \h </w:instrText>
      </w:r>
      <w:r w:rsidR="003D3FD0" w:rsidRPr="003F3B0B">
        <w:fldChar w:fldCharType="separate"/>
      </w:r>
      <w:r w:rsidR="003D1AA2" w:rsidRPr="003F3B0B">
        <w:t xml:space="preserve">Table </w:t>
      </w:r>
      <w:r w:rsidR="003D1AA2" w:rsidRPr="003F3B0B">
        <w:rPr>
          <w:noProof/>
        </w:rPr>
        <w:t>2</w:t>
      </w:r>
      <w:r w:rsidR="003D3FD0" w:rsidRPr="003F3B0B">
        <w:fldChar w:fldCharType="end"/>
      </w:r>
      <w:r w:rsidR="00B44C2E" w:rsidRPr="003F3B0B">
        <w:t xml:space="preserve">. The external (hydrostatic) pressure, which is dependent on </w:t>
      </w:r>
      <w:r w:rsidR="008D034A" w:rsidRPr="003F3B0B">
        <w:t>water-</w:t>
      </w:r>
      <w:r w:rsidR="00B44C2E" w:rsidRPr="003F3B0B">
        <w:t xml:space="preserve">depth, and therefore, location along the </w:t>
      </w:r>
      <w:proofErr w:type="spellStart"/>
      <w:r w:rsidR="00B44C2E" w:rsidRPr="003F3B0B">
        <w:t>riser</w:t>
      </w:r>
      <w:proofErr w:type="spellEnd"/>
      <w:r w:rsidR="00B44C2E" w:rsidRPr="003F3B0B">
        <w:t xml:space="preserve">, is zero at the FPSO </w:t>
      </w:r>
      <w:r w:rsidR="00B44C2E" w:rsidRPr="003F3B0B">
        <w:rPr>
          <w:noProof/>
        </w:rPr>
        <w:t>hang-off;</w:t>
      </w:r>
      <w:r w:rsidR="00B44C2E" w:rsidRPr="003F3B0B">
        <w:t xml:space="preserve"> at the SLHR </w:t>
      </w:r>
      <w:r w:rsidR="00B44C2E" w:rsidRPr="003F3B0B">
        <w:rPr>
          <w:noProof/>
        </w:rPr>
        <w:t>hang-off</w:t>
      </w:r>
      <w:r w:rsidR="00B44C2E" w:rsidRPr="003F3B0B">
        <w:t xml:space="preserve"> point, external </w:t>
      </w:r>
      <w:r w:rsidR="008D034A" w:rsidRPr="003F3B0B">
        <w:t xml:space="preserve">hydrostatic </w:t>
      </w:r>
      <w:r w:rsidR="00B44C2E" w:rsidRPr="003F3B0B">
        <w:t>pressure is 2 MPa.</w:t>
      </w:r>
    </w:p>
    <w:p w14:paraId="76924D15" w14:textId="79236868" w:rsidR="00B44C2E" w:rsidRPr="003F3B0B" w:rsidRDefault="00B44C2E" w:rsidP="00B44C2E">
      <w:r w:rsidRPr="003F3B0B">
        <w:t>The submerged sections of the risers experience hydrodynamic forces due to the environmental loading</w:t>
      </w:r>
      <w:r w:rsidR="00EB56D3" w:rsidRPr="003F3B0B">
        <w:t xml:space="preserve"> </w:t>
      </w:r>
      <w:r w:rsidR="00EB56D3" w:rsidRPr="003F3B0B">
        <w:fldChar w:fldCharType="begin" w:fldLock="1"/>
      </w:r>
      <w:r w:rsidR="00EF5D3F" w:rsidRPr="003F3B0B">
        <w:instrText>ADDIN CSL_CITATION { "citationItems" : [ { "id" : "ITEM-1", "itemData" : { "id" : "ITEM-1", "issued" : { "date-parts" : [ [ "0" ] ] }, "title" : "Flexcom Introductory Manual, April 2014: Wood Group Kenny.", "type" : "report" }, "uris" : [ "http://www.mendeley.com/documents/?uuid=276e7da5-4c4e-449d-abd6-6a045c4ba492" ] } ], "mendeley" : { "formattedCitation" : "[35]", "plainTextFormattedCitation" : "[35]", "previouslyFormattedCitation" : "[35]" }, "properties" : { "noteIndex" : 7 }, "schema" : "https://github.com/citation-style-language/schema/raw/master/csl-citation.json" }</w:instrText>
      </w:r>
      <w:r w:rsidR="00EB56D3" w:rsidRPr="003F3B0B">
        <w:fldChar w:fldCharType="separate"/>
      </w:r>
      <w:r w:rsidR="00EF5D3F" w:rsidRPr="003F3B0B">
        <w:rPr>
          <w:noProof/>
        </w:rPr>
        <w:t>[35]</w:t>
      </w:r>
      <w:r w:rsidR="00EB56D3" w:rsidRPr="003F3B0B">
        <w:fldChar w:fldCharType="end"/>
      </w:r>
      <w:r w:rsidRPr="003F3B0B">
        <w:t xml:space="preserve">. Generally, drag forces dominate for extreme waves and inertia forces are dominant for smaller waves. Drag and inertia coefficients </w:t>
      </w:r>
      <w:r w:rsidR="000B6AFC" w:rsidRPr="003F3B0B">
        <w:t xml:space="preserve">of 1.2 and 1.8, respectively, </w:t>
      </w:r>
      <w:r w:rsidRPr="003F3B0B">
        <w:t>are included in the global analysis for all riser geometries.</w:t>
      </w:r>
    </w:p>
    <w:p w14:paraId="65A41371" w14:textId="77777777" w:rsidR="00B44C2E" w:rsidRPr="003F3B0B" w:rsidRDefault="00B44C2E" w:rsidP="00B44C2E"/>
    <w:p w14:paraId="628AB6C8" w14:textId="77777777" w:rsidR="00AE3B0E" w:rsidRPr="003F3B0B" w:rsidRDefault="00AE3B0E" w:rsidP="00AE3B0E">
      <w:pPr>
        <w:pStyle w:val="Heading2"/>
      </w:pPr>
      <w:r w:rsidRPr="003F3B0B">
        <w:t>Vessel and environmental loading</w:t>
      </w:r>
    </w:p>
    <w:p w14:paraId="7E930399" w14:textId="1D00848A" w:rsidR="00B44C2E" w:rsidRPr="003F3B0B" w:rsidRDefault="00B44C2E" w:rsidP="00B44C2E">
      <w:r w:rsidRPr="003F3B0B">
        <w:t xml:space="preserve">The vessel motions due to the wave action are modelled using vessel response amplitude </w:t>
      </w:r>
      <w:r w:rsidR="005C6B05" w:rsidRPr="003F3B0B">
        <w:t>operators</w:t>
      </w:r>
      <w:r w:rsidRPr="003F3B0B">
        <w:t xml:space="preserve"> (RAOs). The </w:t>
      </w:r>
      <w:proofErr w:type="gramStart"/>
      <w:r w:rsidRPr="003F3B0B">
        <w:t>motion of all points on the vessel are</w:t>
      </w:r>
      <w:proofErr w:type="gramEnd"/>
      <w:r w:rsidRPr="003F3B0B">
        <w:t xml:space="preserve"> calculated using rigid body </w:t>
      </w:r>
      <w:r w:rsidRPr="003F3B0B">
        <w:lastRenderedPageBreak/>
        <w:t xml:space="preserve">dynamics from a reference point (typically vessel </w:t>
      </w:r>
      <w:proofErr w:type="spellStart"/>
      <w:r w:rsidRPr="003F3B0B">
        <w:t>center</w:t>
      </w:r>
      <w:proofErr w:type="spellEnd"/>
      <w:r w:rsidRPr="003F3B0B">
        <w:t xml:space="preserve"> of gravity) and the associated RAOs. A vessel has six degrees of freedom, three translational and three rotational, as shown in </w:t>
      </w:r>
      <w:r w:rsidR="000F5E2F" w:rsidRPr="003F3B0B">
        <w:fldChar w:fldCharType="begin"/>
      </w:r>
      <w:r w:rsidR="000F5E2F" w:rsidRPr="003F3B0B">
        <w:instrText xml:space="preserve"> REF _Ref11241889 \h </w:instrText>
      </w:r>
      <w:r w:rsidR="000F5E2F" w:rsidRPr="003F3B0B">
        <w:fldChar w:fldCharType="separate"/>
      </w:r>
      <w:r w:rsidR="003D1AA2" w:rsidRPr="003F3B0B">
        <w:t xml:space="preserve">Figure </w:t>
      </w:r>
      <w:r w:rsidR="003D1AA2" w:rsidRPr="003F3B0B">
        <w:rPr>
          <w:noProof/>
        </w:rPr>
        <w:t>3</w:t>
      </w:r>
      <w:r w:rsidR="000F5E2F" w:rsidRPr="003F3B0B">
        <w:fldChar w:fldCharType="end"/>
      </w:r>
      <w:r w:rsidRPr="003F3B0B">
        <w:t>. The RAO data for all six degrees of freedom used for this study were obtained from a database of typical FPSO data for this type of riser configuration and se</w:t>
      </w:r>
      <w:r w:rsidR="00F52AC2" w:rsidRPr="003F3B0B">
        <w:t>a conditions (courtesy of Wood plc.</w:t>
      </w:r>
      <w:r w:rsidRPr="003F3B0B">
        <w:t xml:space="preserve">). </w:t>
      </w:r>
    </w:p>
    <w:p w14:paraId="68FE08D4" w14:textId="3D5A64E5" w:rsidR="00B44C2E" w:rsidRPr="003F3B0B" w:rsidRDefault="00B44C2E" w:rsidP="00B44C2E">
      <w:r w:rsidRPr="003F3B0B">
        <w:t>A piecewise linear current profile is used to model the horizontal current velocity distribution that can vary in magnitude and direction with depth. For this study, the direction of the current is assumed to be constant, 0</w:t>
      </w:r>
      <w:r w:rsidRPr="003F3B0B">
        <w:rPr>
          <w:rFonts w:ascii="Calibri" w:hAnsi="Calibri"/>
        </w:rPr>
        <w:t>⁰</w:t>
      </w:r>
      <w:r w:rsidRPr="003F3B0B">
        <w:t xml:space="preserve"> from the </w:t>
      </w:r>
      <w:r w:rsidRPr="003F3B0B">
        <w:rPr>
          <w:i/>
        </w:rPr>
        <w:t>y</w:t>
      </w:r>
      <w:r w:rsidRPr="003F3B0B">
        <w:t>-axis (see</w:t>
      </w:r>
      <w:r w:rsidR="00BD7F95" w:rsidRPr="003F3B0B">
        <w:t xml:space="preserve"> </w:t>
      </w:r>
      <w:r w:rsidR="00BD7F95" w:rsidRPr="003F3B0B">
        <w:fldChar w:fldCharType="begin"/>
      </w:r>
      <w:r w:rsidR="00BD7F95" w:rsidRPr="003F3B0B">
        <w:instrText xml:space="preserve"> REF _Ref11241889 \h </w:instrText>
      </w:r>
      <w:r w:rsidR="00BD7F95" w:rsidRPr="003F3B0B">
        <w:fldChar w:fldCharType="separate"/>
      </w:r>
      <w:r w:rsidR="003D1AA2" w:rsidRPr="003F3B0B">
        <w:t xml:space="preserve">Figure </w:t>
      </w:r>
      <w:r w:rsidR="003D1AA2" w:rsidRPr="003F3B0B">
        <w:rPr>
          <w:noProof/>
        </w:rPr>
        <w:t>3</w:t>
      </w:r>
      <w:r w:rsidR="00BD7F95" w:rsidRPr="003F3B0B">
        <w:fldChar w:fldCharType="end"/>
      </w:r>
      <w:r w:rsidRPr="003F3B0B">
        <w:t xml:space="preserve">). </w:t>
      </w:r>
    </w:p>
    <w:p w14:paraId="74A59DC8" w14:textId="4FDD833A" w:rsidR="00B44C2E" w:rsidRPr="003F3B0B" w:rsidRDefault="00B44C2E" w:rsidP="00B44C2E">
      <w:r w:rsidRPr="003F3B0B">
        <w:t xml:space="preserve">The riser system is subjected to six sea state (regular Airy wave) load cases defined by wave height and period (as shown in </w:t>
      </w:r>
      <w:r w:rsidR="003D3FD0" w:rsidRPr="003F3B0B">
        <w:fldChar w:fldCharType="begin"/>
      </w:r>
      <w:r w:rsidR="003D3FD0" w:rsidRPr="003F3B0B">
        <w:instrText xml:space="preserve"> REF _Ref11249904 \h </w:instrText>
      </w:r>
      <w:r w:rsidR="003D3FD0" w:rsidRPr="003F3B0B">
        <w:fldChar w:fldCharType="separate"/>
      </w:r>
      <w:r w:rsidR="003D1AA2" w:rsidRPr="003F3B0B">
        <w:t xml:space="preserve">Table </w:t>
      </w:r>
      <w:r w:rsidR="003D1AA2" w:rsidRPr="003F3B0B">
        <w:rPr>
          <w:noProof/>
        </w:rPr>
        <w:t>3</w:t>
      </w:r>
      <w:r w:rsidR="003D3FD0" w:rsidRPr="003F3B0B">
        <w:fldChar w:fldCharType="end"/>
      </w:r>
      <w:r w:rsidRPr="003F3B0B">
        <w:t xml:space="preserve">). These wave heights and periods are representative of extreme dynamic loading on the flexible riser jumper from swell and sea wave conditions (Wood </w:t>
      </w:r>
      <w:r w:rsidR="008724BE" w:rsidRPr="003F3B0B">
        <w:t xml:space="preserve">plc. </w:t>
      </w:r>
      <w:r w:rsidRPr="003F3B0B">
        <w:t>met</w:t>
      </w:r>
      <w:r w:rsidR="00F52AC2" w:rsidRPr="003F3B0B">
        <w:t>-</w:t>
      </w:r>
      <w:r w:rsidRPr="003F3B0B">
        <w:t>ocean data). A riser can experience up to 10</w:t>
      </w:r>
      <w:r w:rsidRPr="003F3B0B">
        <w:rPr>
          <w:vertAlign w:val="superscript"/>
        </w:rPr>
        <w:t>6</w:t>
      </w:r>
      <w:r w:rsidRPr="003F3B0B">
        <w:t xml:space="preserve"> cycles of each load-case in a year of operation.</w:t>
      </w:r>
      <w:r w:rsidR="00F52AC2" w:rsidRPr="003F3B0B">
        <w:t xml:space="preserve"> </w:t>
      </w:r>
      <w:r w:rsidR="00FC747C" w:rsidRPr="003F3B0B">
        <w:t>All wave directions are the same, except for load case 1, where the wave direction is at 90</w:t>
      </w:r>
      <w:r w:rsidR="00FC747C" w:rsidRPr="003F3B0B">
        <w:rPr>
          <w:rFonts w:ascii="Calibri" w:hAnsi="Calibri"/>
        </w:rPr>
        <w:t>⁰</w:t>
      </w:r>
      <w:r w:rsidR="00FC747C" w:rsidRPr="003F3B0B">
        <w:t xml:space="preserve"> </w:t>
      </w:r>
      <w:r w:rsidR="004A0FF8" w:rsidRPr="003F3B0B">
        <w:t>with respect</w:t>
      </w:r>
      <w:r w:rsidR="00FC747C" w:rsidRPr="003F3B0B">
        <w:t xml:space="preserve"> to the other load cases. This allows for the effect of wave direction to be considered, by comparing load cases 1 and 3.</w:t>
      </w:r>
    </w:p>
    <w:p w14:paraId="10A2E9A9" w14:textId="77777777" w:rsidR="00AE3B0E" w:rsidRPr="003F3B0B" w:rsidRDefault="00AE3B0E" w:rsidP="00AE3B0E"/>
    <w:p w14:paraId="54EAB05D" w14:textId="77777777" w:rsidR="00AE3B0E" w:rsidRPr="003F3B0B" w:rsidRDefault="00AE3B0E" w:rsidP="00AE3B0E">
      <w:pPr>
        <w:pStyle w:val="Heading1"/>
      </w:pPr>
      <w:r w:rsidRPr="003F3B0B">
        <w:t>Global-local conditions</w:t>
      </w:r>
    </w:p>
    <w:p w14:paraId="4A7CD3EC" w14:textId="77777777" w:rsidR="00AE3B0E" w:rsidRPr="003F3B0B" w:rsidRDefault="00AE3B0E" w:rsidP="00AE3B0E">
      <w:pPr>
        <w:pStyle w:val="Heading2"/>
      </w:pPr>
      <w:r w:rsidRPr="003F3B0B">
        <w:t>General</w:t>
      </w:r>
    </w:p>
    <w:p w14:paraId="31DAF368" w14:textId="00002057" w:rsidR="00B44C2E" w:rsidRPr="003F3B0B" w:rsidRDefault="00B44C2E" w:rsidP="00B44C2E">
      <w:r w:rsidRPr="003F3B0B">
        <w:t>This section describes analytical and geometrical models employed to establish global-local relationships</w:t>
      </w:r>
      <w:r w:rsidR="00EE438C" w:rsidRPr="003F3B0B">
        <w:t xml:space="preserve"> for</w:t>
      </w:r>
      <w:r w:rsidRPr="003F3B0B">
        <w:t xml:space="preserve"> (</w:t>
      </w:r>
      <w:proofErr w:type="spellStart"/>
      <w:r w:rsidRPr="003F3B0B">
        <w:t>i</w:t>
      </w:r>
      <w:proofErr w:type="spellEnd"/>
      <w:r w:rsidRPr="003F3B0B">
        <w:t xml:space="preserve">) global axial force to local nub-groove contact pressure and (ii) global riser curvature to local nub-groove slip, as shown in the flowchart of </w:t>
      </w:r>
      <w:r w:rsidR="00B956C5" w:rsidRPr="003F3B0B">
        <w:fldChar w:fldCharType="begin"/>
      </w:r>
      <w:r w:rsidR="00B956C5" w:rsidRPr="003F3B0B">
        <w:instrText xml:space="preserve"> REF _Ref11236066 \h </w:instrText>
      </w:r>
      <w:r w:rsidR="00B956C5" w:rsidRPr="003F3B0B">
        <w:fldChar w:fldCharType="separate"/>
      </w:r>
      <w:r w:rsidR="003D1AA2" w:rsidRPr="003F3B0B">
        <w:t xml:space="preserve">Figure </w:t>
      </w:r>
      <w:r w:rsidR="003D1AA2" w:rsidRPr="003F3B0B">
        <w:rPr>
          <w:noProof/>
        </w:rPr>
        <w:t>2</w:t>
      </w:r>
      <w:r w:rsidR="00B956C5" w:rsidRPr="003F3B0B">
        <w:fldChar w:fldCharType="end"/>
      </w:r>
      <w:r w:rsidRPr="003F3B0B">
        <w:t>.</w:t>
      </w:r>
    </w:p>
    <w:p w14:paraId="37B89B1F" w14:textId="16DD7FCE" w:rsidR="00B44C2E" w:rsidRPr="003F3B0B" w:rsidRDefault="00B44C2E" w:rsidP="00B44C2E">
      <w:r w:rsidRPr="003F3B0B">
        <w:t xml:space="preserve">To the </w:t>
      </w:r>
      <w:proofErr w:type="gramStart"/>
      <w:r w:rsidRPr="003F3B0B">
        <w:t>authors</w:t>
      </w:r>
      <w:proofErr w:type="gramEnd"/>
      <w:r w:rsidRPr="003F3B0B">
        <w:t xml:space="preserve"> knowledge, there are no existing methods to identify nub-groove fretting conditions, in particular, contact slip, based on global riser dynamic analysis results. The </w:t>
      </w:r>
      <w:r w:rsidRPr="003F3B0B">
        <w:lastRenderedPageBreak/>
        <w:t xml:space="preserve">work of Burke and </w:t>
      </w:r>
      <w:proofErr w:type="spellStart"/>
      <w:r w:rsidRPr="003F3B0B">
        <w:t>Witz</w:t>
      </w:r>
      <w:proofErr w:type="spellEnd"/>
      <w:r w:rsidRPr="003F3B0B">
        <w:t xml:space="preserve"> </w:t>
      </w:r>
      <w:r w:rsidR="00E00BCA" w:rsidRPr="003F3B0B">
        <w:fldChar w:fldCharType="begin" w:fldLock="1"/>
      </w:r>
      <w:r w:rsidR="00EF5D3F" w:rsidRPr="003F3B0B">
        <w:instrText>ADDIN CSL_CITATION { "citationItems" : [ { "id" : "ITEM-1", "itemData" : { "author" : [ { "dropping-particle" : "", "family" : "Burke", "given" : "R.N.", "non-dropping-particle" : "", "parse-names" : false, "suffix" : "" }, { "dropping-particle" : "", "family" : "Witz", "given" : "J.A.", "non-dropping-particle" : "", "parse-names" : false, "suffix" : "" } ], "container-title" : "3rd European Conference on Flexible Pipes, Unbilicals and Marine Cables - Materials Utilisation for cyclic and Thermal Loading", "id" : "ITEM-1", "issued" : { "date-parts" : [ [ "1995" ] ] }, "title" : "NFretting Fatigue of Flexible Pipe Pressure Armour", "type" : "paper-conference" }, "uris" : [ "http://www.mendeley.com/documents/?uuid=4f4e156f-52ea-401d-afa9-652aa3b57775" ] } ], "mendeley" : { "formattedCitation" : "[18]", "plainTextFormattedCitation" : "[18]", "previouslyFormattedCitation" : "[18]" }, "properties" : { "noteIndex" : 8 }, "schema" : "https://github.com/citation-style-language/schema/raw/master/csl-citation.json" }</w:instrText>
      </w:r>
      <w:r w:rsidR="00E00BCA" w:rsidRPr="003F3B0B">
        <w:fldChar w:fldCharType="separate"/>
      </w:r>
      <w:r w:rsidR="00EF5D3F" w:rsidRPr="003F3B0B">
        <w:rPr>
          <w:noProof/>
        </w:rPr>
        <w:t>[18]</w:t>
      </w:r>
      <w:r w:rsidR="00E00BCA" w:rsidRPr="003F3B0B">
        <w:fldChar w:fldCharType="end"/>
      </w:r>
      <w:r w:rsidRPr="003F3B0B">
        <w:t xml:space="preserve"> identified fretting as a damage mechanism in the nub-groove contact region</w:t>
      </w:r>
      <w:r w:rsidR="00762B4E" w:rsidRPr="003F3B0B">
        <w:t xml:space="preserve">. </w:t>
      </w:r>
      <w:r w:rsidR="00E00BCA" w:rsidRPr="003F3B0B">
        <w:t xml:space="preserve">This work </w:t>
      </w:r>
      <w:r w:rsidR="00DE6E4B" w:rsidRPr="003F3B0B">
        <w:t>considered the non-conforming helical profile of the nub-groove contact to be similar to a cylinder-on-flat contact. However</w:t>
      </w:r>
      <w:r w:rsidRPr="003F3B0B">
        <w:t xml:space="preserve">, the nub-groove contact loading conditions were not quantified. </w:t>
      </w:r>
      <w:r w:rsidR="00DE6E4B" w:rsidRPr="003F3B0B">
        <w:t xml:space="preserve">As discussed earlier, </w:t>
      </w:r>
      <w:proofErr w:type="spellStart"/>
      <w:r w:rsidR="00DE6E4B" w:rsidRPr="003F3B0B">
        <w:t>Féret</w:t>
      </w:r>
      <w:proofErr w:type="spellEnd"/>
      <w:r w:rsidR="00DE6E4B" w:rsidRPr="003F3B0B">
        <w:t xml:space="preserve"> and </w:t>
      </w:r>
      <w:proofErr w:type="spellStart"/>
      <w:r w:rsidR="00DE6E4B" w:rsidRPr="003F3B0B">
        <w:t>Bournazel</w:t>
      </w:r>
      <w:proofErr w:type="spellEnd"/>
      <w:r w:rsidR="00DE6E4B" w:rsidRPr="003F3B0B">
        <w:t xml:space="preserve"> </w:t>
      </w:r>
      <w:r w:rsidR="00DE6E4B" w:rsidRPr="003F3B0B">
        <w:fldChar w:fldCharType="begin" w:fldLock="1"/>
      </w:r>
      <w:r w:rsidR="00EF5D3F" w:rsidRPr="003F3B0B">
        <w:instrText>ADDIN CSL_CITATION { "citationItems" : [ { "id" : "ITEM-1", "itemData" : { "DOI" : "10.1115/1.3257019", "ISSN" : "08927219", "PMID" : "8927219", "author" : [ { "dropping-particle" : "", "family" : "Fe\u0301ret", "given" : "J. J.", "non-dropping-particle" : "", "parse-names" : false, "suffix" : "" }, { "dropping-particle" : "", "family" : "Bournazel", "given" : "C. L.", "non-dropping-particle" : "", "parse-names" : false, "suffix" : "" } ], "container-title" : "Journal of Offshore Mechanics and Arctic Engineering", "genre" : "Journal Article", "id" : "ITEM-1", "issue" : "3", "issued" : { "date-parts" : [ [ "1987" ] ] }, "page" : "263", "title" : "Calculation of stresses and slip in structural layers of unbonded flexible pipes", "type" : "article-journal", "volume" : "109" }, "uris" : [ "http://www.mendeley.com/documents/?uuid=05f8fe84-be37-47ef-bc89-8c9ffea41cba" ] } ], "mendeley" : { "formattedCitation" : "[20]", "plainTextFormattedCitation" : "[20]", "previouslyFormattedCitation" : "[20]" }, "properties" : { "noteIndex" : 9 }, "schema" : "https://github.com/citation-style-language/schema/raw/master/csl-citation.json" }</w:instrText>
      </w:r>
      <w:r w:rsidR="00DE6E4B" w:rsidRPr="003F3B0B">
        <w:fldChar w:fldCharType="separate"/>
      </w:r>
      <w:r w:rsidR="00EF5D3F" w:rsidRPr="003F3B0B">
        <w:rPr>
          <w:noProof/>
        </w:rPr>
        <w:t>[20]</w:t>
      </w:r>
      <w:r w:rsidR="00DE6E4B" w:rsidRPr="003F3B0B">
        <w:fldChar w:fldCharType="end"/>
      </w:r>
      <w:r w:rsidR="00DE6E4B" w:rsidRPr="003F3B0B">
        <w:t xml:space="preserve"> developed theoretical approach for risers under axisymmetric loading to calculate contact stresses and slips in the tensile armour layer. </w:t>
      </w:r>
      <w:r w:rsidR="00EE438C" w:rsidRPr="003F3B0B">
        <w:t>Since</w:t>
      </w:r>
      <w:r w:rsidRPr="003F3B0B">
        <w:t xml:space="preserve"> the pressure armour layer nub-groove articulations are driven by global riser curvatures rather than axisymmetric loading conditions</w:t>
      </w:r>
      <w:r w:rsidR="00DE6E4B" w:rsidRPr="003F3B0B">
        <w:t>,</w:t>
      </w:r>
      <w:r w:rsidRPr="003F3B0B">
        <w:t xml:space="preserve"> the theoretical approach used by</w:t>
      </w:r>
      <w:r w:rsidR="00DE6E4B" w:rsidRPr="003F3B0B">
        <w:t xml:space="preserve"> </w:t>
      </w:r>
      <w:proofErr w:type="spellStart"/>
      <w:r w:rsidR="00DE6E4B" w:rsidRPr="003F3B0B">
        <w:t>Féret</w:t>
      </w:r>
      <w:proofErr w:type="spellEnd"/>
      <w:r w:rsidR="00DE6E4B" w:rsidRPr="003F3B0B">
        <w:t xml:space="preserve"> and </w:t>
      </w:r>
      <w:proofErr w:type="spellStart"/>
      <w:r w:rsidR="00DE6E4B" w:rsidRPr="003F3B0B">
        <w:t>Bournazel</w:t>
      </w:r>
      <w:proofErr w:type="spellEnd"/>
      <w:r w:rsidR="00DE6E4B" w:rsidRPr="003F3B0B">
        <w:t xml:space="preserve"> </w:t>
      </w:r>
      <w:r w:rsidR="00DE6E4B" w:rsidRPr="003F3B0B">
        <w:fldChar w:fldCharType="begin" w:fldLock="1"/>
      </w:r>
      <w:r w:rsidR="00EF5D3F" w:rsidRPr="003F3B0B">
        <w:instrText>ADDIN CSL_CITATION { "citationItems" : [ { "id" : "ITEM-1", "itemData" : { "DOI" : "10.1115/1.3257019", "ISSN" : "08927219", "PMID" : "8927219", "author" : [ { "dropping-particle" : "", "family" : "Fe\u0301ret", "given" : "J. J.", "non-dropping-particle" : "", "parse-names" : false, "suffix" : "" }, { "dropping-particle" : "", "family" : "Bournazel", "given" : "C. L.", "non-dropping-particle" : "", "parse-names" : false, "suffix" : "" } ], "container-title" : "Journal of Offshore Mechanics and Arctic Engineering", "genre" : "Journal Article", "id" : "ITEM-1", "issue" : "3", "issued" : { "date-parts" : [ [ "1987" ] ] }, "page" : "263", "title" : "Calculation of stresses and slip in structural layers of unbonded flexible pipes", "type" : "article-journal", "volume" : "109" }, "uris" : [ "http://www.mendeley.com/documents/?uuid=05f8fe84-be37-47ef-bc89-8c9ffea41cba" ] } ], "mendeley" : { "formattedCitation" : "[20]", "plainTextFormattedCitation" : "[20]", "previouslyFormattedCitation" : "[20]" }, "properties" : { "noteIndex" : 9 }, "schema" : "https://github.com/citation-style-language/schema/raw/master/csl-citation.json" }</w:instrText>
      </w:r>
      <w:r w:rsidR="00DE6E4B" w:rsidRPr="003F3B0B">
        <w:fldChar w:fldCharType="separate"/>
      </w:r>
      <w:r w:rsidR="00EF5D3F" w:rsidRPr="003F3B0B">
        <w:rPr>
          <w:noProof/>
        </w:rPr>
        <w:t>[20]</w:t>
      </w:r>
      <w:r w:rsidR="00DE6E4B" w:rsidRPr="003F3B0B">
        <w:fldChar w:fldCharType="end"/>
      </w:r>
      <w:r w:rsidR="00EB56D3" w:rsidRPr="003F3B0B">
        <w:t xml:space="preserve"> can</w:t>
      </w:r>
      <w:r w:rsidRPr="003F3B0B">
        <w:t>not be used for pressure armour layer nub-groove contacts. The aim of this section is to quantify the global-local response and</w:t>
      </w:r>
      <w:r w:rsidR="00EB56D3" w:rsidRPr="003F3B0B">
        <w:t>,</w:t>
      </w:r>
      <w:r w:rsidRPr="003F3B0B">
        <w:t xml:space="preserve"> hence, provide data for the formulation of material response fretting maps (MRFM) and running conditions fretting maps (RCFM).</w:t>
      </w:r>
    </w:p>
    <w:p w14:paraId="4023D2E5" w14:textId="77777777" w:rsidR="00AE3B0E" w:rsidRPr="003F3B0B" w:rsidRDefault="00AE3B0E" w:rsidP="00AE3B0E"/>
    <w:p w14:paraId="395E84D7" w14:textId="77777777" w:rsidR="00AE3B0E" w:rsidRPr="003F3B0B" w:rsidRDefault="00AE3B0E" w:rsidP="00AE3B0E">
      <w:pPr>
        <w:pStyle w:val="Heading2"/>
      </w:pPr>
      <w:r w:rsidRPr="003F3B0B">
        <w:t>Global riser axial tension</w:t>
      </w:r>
    </w:p>
    <w:p w14:paraId="7A1B0A4A" w14:textId="09AB5CBD" w:rsidR="00B44C2E" w:rsidRPr="003F3B0B" w:rsidRDefault="00B44C2E" w:rsidP="00B44C2E">
      <w:r w:rsidRPr="003F3B0B">
        <w:t xml:space="preserve">A key design criterion for flexible risers is the avoidance of </w:t>
      </w:r>
      <w:r w:rsidR="00EB56D3" w:rsidRPr="003F3B0B">
        <w:t xml:space="preserve">compressive </w:t>
      </w:r>
      <w:r w:rsidRPr="003F3B0B">
        <w:t xml:space="preserve">buckling. </w:t>
      </w:r>
      <w:r w:rsidR="00F816E5" w:rsidRPr="003F3B0B">
        <w:t>Each layer in a f</w:t>
      </w:r>
      <w:r w:rsidRPr="003F3B0B">
        <w:t xml:space="preserve">lexible riser has a specific function. The function of the tensile armour (wire) layers is to support the axial tensile forces experienced by the riser. The lay angle of the </w:t>
      </w:r>
      <w:r w:rsidR="00320DAF" w:rsidRPr="003F3B0B">
        <w:t xml:space="preserve">helical </w:t>
      </w:r>
      <w:r w:rsidRPr="003F3B0B">
        <w:t xml:space="preserve">tensile armour layer is typically </w:t>
      </w:r>
      <w:r w:rsidR="00327B40" w:rsidRPr="003F3B0B">
        <w:t xml:space="preserve">between </w:t>
      </w:r>
      <w:r w:rsidRPr="003F3B0B">
        <w:rPr>
          <w:rFonts w:cs="Times New Roman"/>
        </w:rPr>
        <w:t>±</w:t>
      </w:r>
      <w:r w:rsidRPr="003F3B0B">
        <w:t xml:space="preserve">30 </w:t>
      </w:r>
      <w:r w:rsidR="00327B40" w:rsidRPr="003F3B0B">
        <w:t>and</w:t>
      </w:r>
      <w:r w:rsidRPr="003F3B0B">
        <w:t xml:space="preserve"> </w:t>
      </w:r>
      <w:r w:rsidRPr="003F3B0B">
        <w:rPr>
          <w:rFonts w:cs="Times New Roman"/>
        </w:rPr>
        <w:t>±</w:t>
      </w:r>
      <w:r w:rsidRPr="003F3B0B">
        <w:t>40</w:t>
      </w:r>
      <w:r w:rsidRPr="003F3B0B">
        <w:rPr>
          <w:rFonts w:ascii="Cambria Math" w:hAnsi="Cambria Math" w:cs="Cambria Math"/>
        </w:rPr>
        <w:t>⁰</w:t>
      </w:r>
      <w:r w:rsidRPr="003F3B0B">
        <w:t xml:space="preserve"> to the longitudinal axis of the riser; therefore, tensile forces on this layer cause the wires to straighten slightly. This straightening causes pressure on layers under the tensile layer, such as the pressure armour layer. Therefore, global axial tensile force causes additional external pressure on the pressure armour layer, </w:t>
      </w:r>
      <w:r w:rsidRPr="003F3B0B">
        <w:rPr>
          <w:i/>
        </w:rPr>
        <w:t>p</w:t>
      </w:r>
      <w:r w:rsidRPr="003F3B0B">
        <w:rPr>
          <w:vertAlign w:val="subscript"/>
        </w:rPr>
        <w:t>a</w:t>
      </w:r>
      <w:r w:rsidRPr="003F3B0B">
        <w:t xml:space="preserve">, </w:t>
      </w:r>
      <w:r w:rsidR="00327B40" w:rsidRPr="003F3B0B">
        <w:t xml:space="preserve">which can be </w:t>
      </w:r>
      <w:r w:rsidRPr="003F3B0B">
        <w:t xml:space="preserve">expressed </w:t>
      </w:r>
      <w:r w:rsidR="00327B40" w:rsidRPr="003F3B0B">
        <w:t>as follows</w:t>
      </w:r>
      <w:r w:rsidR="00327B40" w:rsidRPr="003F3B0B" w:rsidDel="00327B40">
        <w:t xml:space="preserve"> </w:t>
      </w:r>
      <w:r w:rsidRPr="003F3B0B">
        <w:fldChar w:fldCharType="begin" w:fldLock="1"/>
      </w:r>
      <w:r w:rsidR="00EF5D3F" w:rsidRPr="003F3B0B">
        <w:instrText>ADDIN CSL_CITATION { "citationItems" : [ { "id" : "ITEM-1", "itemData" : { "DOI" : "10.1115/1.3169064", "ISSN" : "00218936", "author" : [ { "dropping-particle" : "", "family" : "Lanteigne", "given" : "J.", "non-dropping-particle" : "", "parse-names" : false, "suffix" : "" } ], "container-title" : "Journal of Applied Mechanics", "id" : "ITEM-1", "issue" : "2", "issued" : { "date-parts" : [ [ "1985" ] ] }, "page" : "423", "publisher" : "American Society of Mechanical Engineers", "title" : "Theoretical Estimation of the Response of Helically Armored Cables to Tension, Torsion, and Bending", "type" : "article-journal", "volume" : "52" }, "uris" : [ "http://www.mendeley.com/documents/?uuid=7b48f7e2-c2f3-3241-85bb-522169636bb1" ] } ], "mendeley" : { "formattedCitation" : "[36]", "plainTextFormattedCitation" : "[36]", "previouslyFormattedCitation" : "[36]" }, "properties" : { "noteIndex" : 0 }, "schema" : "https://github.com/citation-style-language/schema/raw/master/csl-citation.json" }</w:instrText>
      </w:r>
      <w:r w:rsidRPr="003F3B0B">
        <w:fldChar w:fldCharType="separate"/>
      </w:r>
      <w:r w:rsidR="00EF5D3F" w:rsidRPr="003F3B0B">
        <w:rPr>
          <w:noProof/>
        </w:rPr>
        <w:t>[36]</w:t>
      </w:r>
      <w:r w:rsidRPr="003F3B0B">
        <w:fldChar w:fldCharType="end"/>
      </w:r>
      <w:r w:rsidRPr="003F3B0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708"/>
      </w:tblGrid>
      <w:tr w:rsidR="003F3B0B" w:rsidRPr="003F3B0B" w14:paraId="53199529" w14:textId="77777777" w:rsidTr="00327B40">
        <w:tc>
          <w:tcPr>
            <w:tcW w:w="8472" w:type="dxa"/>
            <w:vAlign w:val="center"/>
          </w:tcPr>
          <w:p w14:paraId="7A669F15" w14:textId="11639506" w:rsidR="00B44C2E" w:rsidRPr="003F3B0B" w:rsidRDefault="00C47C78" w:rsidP="00B44C2E">
            <w:pPr>
              <w:jc w:val="center"/>
              <w:rPr>
                <w:rFonts w:eastAsiaTheme="minorEastAsia"/>
              </w:rPr>
            </w:pPr>
            <w:r w:rsidRPr="003F3B0B">
              <w:rPr>
                <w:noProof/>
                <w:position w:val="-32"/>
                <w:lang w:eastAsia="en-IE"/>
              </w:rPr>
              <w:drawing>
                <wp:inline distT="0" distB="0" distL="0" distR="0" wp14:anchorId="1B4EBEAF" wp14:editId="24595020">
                  <wp:extent cx="1390650" cy="752475"/>
                  <wp:effectExtent l="0" t="0" r="0" b="952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0650" cy="752475"/>
                          </a:xfrm>
                          <a:prstGeom prst="rect">
                            <a:avLst/>
                          </a:prstGeom>
                          <a:noFill/>
                          <a:ln>
                            <a:noFill/>
                          </a:ln>
                        </pic:spPr>
                      </pic:pic>
                    </a:graphicData>
                  </a:graphic>
                </wp:inline>
              </w:drawing>
            </w:r>
          </w:p>
        </w:tc>
        <w:tc>
          <w:tcPr>
            <w:tcW w:w="708" w:type="dxa"/>
            <w:vAlign w:val="center"/>
          </w:tcPr>
          <w:p w14:paraId="4DF1DF8A" w14:textId="77777777" w:rsidR="00B44C2E" w:rsidRPr="003F3B0B" w:rsidRDefault="003D3FD0" w:rsidP="00B44C2E">
            <w:pPr>
              <w:pStyle w:val="Caption"/>
              <w:spacing w:after="0"/>
              <w:jc w:val="right"/>
            </w:pPr>
            <w:r w:rsidRPr="003F3B0B">
              <w:t>(</w:t>
            </w:r>
            <w:fldSimple w:instr=" SEQ 7. \* ARABIC ">
              <w:r w:rsidR="003D1AA2" w:rsidRPr="003F3B0B">
                <w:rPr>
                  <w:noProof/>
                </w:rPr>
                <w:t>1</w:t>
              </w:r>
            </w:fldSimple>
            <w:r w:rsidR="00B44C2E" w:rsidRPr="003F3B0B">
              <w:t>)</w:t>
            </w:r>
          </w:p>
        </w:tc>
      </w:tr>
    </w:tbl>
    <w:p w14:paraId="177C328B" w14:textId="67CDBE4C" w:rsidR="00B44C2E" w:rsidRPr="003F3B0B" w:rsidRDefault="00B44C2E" w:rsidP="00B44C2E">
      <w:proofErr w:type="gramStart"/>
      <w:r w:rsidRPr="003F3B0B">
        <w:lastRenderedPageBreak/>
        <w:t>where</w:t>
      </w:r>
      <w:proofErr w:type="gramEnd"/>
      <w:r w:rsidRPr="003F3B0B">
        <w:t xml:space="preserve"> </w:t>
      </w:r>
      <w:r w:rsidRPr="003F3B0B">
        <w:rPr>
          <w:i/>
        </w:rPr>
        <w:t>m</w:t>
      </w:r>
      <w:r w:rsidRPr="003F3B0B">
        <w:t xml:space="preserve"> is the number of tensile armour wires in the tensile armour layer, </w:t>
      </w:r>
      <w:r w:rsidRPr="003F3B0B">
        <w:rPr>
          <w:i/>
          <w:noProof/>
        </w:rPr>
        <w:t>F</w:t>
      </w:r>
      <w:r w:rsidRPr="003F3B0B">
        <w:rPr>
          <w:noProof/>
          <w:vertAlign w:val="subscript"/>
        </w:rPr>
        <w:t>w</w:t>
      </w:r>
      <w:r w:rsidRPr="003F3B0B">
        <w:t xml:space="preserve"> is the axial force in each tensile armour wire, </w:t>
      </w:r>
      <w:proofErr w:type="spellStart"/>
      <w:r w:rsidRPr="003F3B0B">
        <w:rPr>
          <w:i/>
        </w:rPr>
        <w:t>R</w:t>
      </w:r>
      <w:r w:rsidRPr="003F3B0B">
        <w:rPr>
          <w:vertAlign w:val="subscript"/>
        </w:rPr>
        <w:t>w</w:t>
      </w:r>
      <w:proofErr w:type="spellEnd"/>
      <w:r w:rsidRPr="003F3B0B">
        <w:t xml:space="preserve"> is the radius at which the tensile armour layer lies with a lay angle of </w:t>
      </w:r>
      <w:r w:rsidRPr="003F3B0B">
        <w:rPr>
          <w:i/>
        </w:rPr>
        <w:t xml:space="preserve">α </w:t>
      </w:r>
      <w:r w:rsidRPr="003F3B0B">
        <w:t>and 2</w:t>
      </w:r>
      <w:r w:rsidRPr="003F3B0B">
        <w:rPr>
          <w:i/>
        </w:rPr>
        <w:t>π</w:t>
      </w:r>
      <w:proofErr w:type="spellStart"/>
      <w:r w:rsidRPr="003F3B0B">
        <w:rPr>
          <w:i/>
        </w:rPr>
        <w:t>R</w:t>
      </w:r>
      <w:r w:rsidRPr="003F3B0B">
        <w:rPr>
          <w:vertAlign w:val="subscript"/>
        </w:rPr>
        <w:t>pa</w:t>
      </w:r>
      <w:proofErr w:type="spellEnd"/>
      <w:r w:rsidRPr="003F3B0B">
        <w:t xml:space="preserve"> is the circumference of the pressure armour layer. This analytical solution has been validated and used extensively, e.g. </w:t>
      </w:r>
      <w:r w:rsidRPr="003F3B0B">
        <w:fldChar w:fldCharType="begin" w:fldLock="1"/>
      </w:r>
      <w:r w:rsidR="00EF5D3F" w:rsidRPr="003F3B0B">
        <w:instrText>ADDIN CSL_CITATION { "citationItems" : [ { "id" : "ITEM-1", "itemData" : { "DOI" : "10.1115/1.2919961", "ISSN" : "1528896x", "abstract" : "A three-dimensional analytical model of the mechanical response of a layered flexible pipeline section to a general set of loads and pressures is presented. Stiffness relations for isotropic, orthotropic and helically wound armouring layers are developed and combined to form a total section stiffness equation incorporating inter-layer pressures and radial deformations. These layers may be used to model the mechanical responses of flexible pipelines including any number and order of layers. Typical loads are taken from a three-dimensional analysis of a flexible production riser in a steep-wave configuration in 310m water depth. An illustrative pipe section with five layers including an inner steel tube, two contrawound steel cable layers and two modelled with rubber matrix materials is subjected to this three-dimensional load set. Computations show the dominant influence of the steel strands in carrying the ambient loads and also gives a picture of the radial distribution of inter-layer pressures across the pipe thickness. The analytical model is designed to give an assessment of deformations and stresses in the various layers such that estimates may be made of critical parameters including wear, slip, rupture, debonding and other aspects of flexible pipe performance.", "author" : [ { "dropping-particle" : "", "family" : "McNamara", "given" : "J.F.", "non-dropping-particle" : "", "parse-names" : false, "suffix" : "" }, { "dropping-particle" : "", "family" : "Harte", "given" : "A.M.", "non-dropping-particle" : "", "parse-names" : false, "suffix" : "" } ], "container-title" : "Journal of Offshore Mechanics and Arctic Engineering", "id" : "ITEM-1", "issue" : "2", "issued" : { "date-parts" : [ [ "1992" ] ] }, "page" : "69 - 75", "title" : "Three-dimensional analytical simulation of flexible pipe wall structure", "type" : "article-journal", "volume" : "114" }, "uris" : [ "http://www.mendeley.com/documents/?uuid=3c2d3483-d211-42fd-8b54-19a2b8ec5d6b", "http://www.mendeley.com/documents/?uuid=4d75547e-e601-4d32-9fd1-7f2e9c7d6209" ] }, { "id" : "ITEM-2", "itemData" : { "DOI" : "10.4043/13203-MS", "author" : [ { "dropping-particle" : "", "family" : "Hoffman", "given" : "Joe", "non-dropping-particle" : "", "parse-names" : false, "suffix" : "" }, { "dropping-particle" : "", "family" : "Dupont", "given" : "Wayne", "non-dropping-particle" : "", "parse-names" : false, "suffix" : "" }, { "dropping-particle" : "", "family" : "Reynolds", "given" : "Brandon", "non-dropping-particle" : "", "parse-names" : false, "suffix" : "" } ], "container-title" : "Offshore Technology Conference", "id" : "ITEM-2", "issued" : { "date-parts" : [ [ "2001" ] ] }, "title" : "A fatigue-life prediction model for metallic tube umbilicals", "type" : "paper-conference" }, "uris" : [ "http://www.mendeley.com/documents/?uuid=14208af9-69e2-36be-afef-5f243ee45b00", "http://www.mendeley.com/documents/?uuid=f8d2501e-aa92-482e-9e79-edd67ea1b14e" ] } ], "mendeley" : { "formattedCitation" : "[37,38]", "plainTextFormattedCitation" : "[37,38]", "previouslyFormattedCitation" : "[37,38]" }, "properties" : { "noteIndex" : 0 }, "schema" : "https://github.com/citation-style-language/schema/raw/master/csl-citation.json" }</w:instrText>
      </w:r>
      <w:r w:rsidRPr="003F3B0B">
        <w:fldChar w:fldCharType="separate"/>
      </w:r>
      <w:r w:rsidR="00EF5D3F" w:rsidRPr="003F3B0B">
        <w:rPr>
          <w:noProof/>
        </w:rPr>
        <w:t>[37,38]</w:t>
      </w:r>
      <w:r w:rsidRPr="003F3B0B">
        <w:fldChar w:fldCharType="end"/>
      </w:r>
      <w:r w:rsidR="00327B40" w:rsidRPr="003F3B0B">
        <w:t>.</w:t>
      </w:r>
    </w:p>
    <w:p w14:paraId="12ABC083" w14:textId="77777777" w:rsidR="00117240" w:rsidRPr="003F3B0B" w:rsidRDefault="00117240" w:rsidP="00B44C2E"/>
    <w:p w14:paraId="6205160A" w14:textId="77777777" w:rsidR="00AE3B0E" w:rsidRPr="003F3B0B" w:rsidRDefault="00AE3B0E" w:rsidP="00AE3B0E">
      <w:pPr>
        <w:pStyle w:val="Heading2"/>
      </w:pPr>
      <w:r w:rsidRPr="003F3B0B">
        <w:t>Global riser curvatures</w:t>
      </w:r>
    </w:p>
    <w:p w14:paraId="782B5D2A" w14:textId="6D650E45" w:rsidR="00B44C2E" w:rsidRPr="003F3B0B" w:rsidRDefault="00B44C2E" w:rsidP="00B44C2E">
      <w:r w:rsidRPr="003F3B0B">
        <w:t>In this section, a geometrical model is presented to relate global riser curvature-applied displacement for a local FE model of the riser nub-groove contact, as outlined in</w:t>
      </w:r>
      <w:r w:rsidR="003D3FD0" w:rsidRPr="003F3B0B">
        <w:t xml:space="preserve"> </w:t>
      </w:r>
      <w:r w:rsidR="003D3FD0" w:rsidRPr="003F3B0B">
        <w:fldChar w:fldCharType="begin"/>
      </w:r>
      <w:r w:rsidR="003D3FD0" w:rsidRPr="003F3B0B">
        <w:instrText xml:space="preserve"> REF _Ref11236066 \h </w:instrText>
      </w:r>
      <w:r w:rsidR="003D3FD0" w:rsidRPr="003F3B0B">
        <w:fldChar w:fldCharType="separate"/>
      </w:r>
      <w:r w:rsidR="003D1AA2" w:rsidRPr="003F3B0B">
        <w:t xml:space="preserve">Figure </w:t>
      </w:r>
      <w:r w:rsidR="003D1AA2" w:rsidRPr="003F3B0B">
        <w:rPr>
          <w:noProof/>
        </w:rPr>
        <w:t>2</w:t>
      </w:r>
      <w:r w:rsidR="003D3FD0" w:rsidRPr="003F3B0B">
        <w:fldChar w:fldCharType="end"/>
      </w:r>
      <w:r w:rsidRPr="003F3B0B">
        <w:t>. In order to develop this model, some assumptions are made, as follows:</w:t>
      </w:r>
    </w:p>
    <w:p w14:paraId="32A204CD" w14:textId="77777777" w:rsidR="00B44C2E" w:rsidRPr="003F3B0B" w:rsidRDefault="00B44C2E" w:rsidP="00B44C2E">
      <w:pPr>
        <w:pStyle w:val="ListParagraph"/>
        <w:numPr>
          <w:ilvl w:val="0"/>
          <w:numId w:val="2"/>
        </w:numPr>
      </w:pPr>
      <w:r w:rsidRPr="003F3B0B">
        <w:t>Plane sections remain plane</w:t>
      </w:r>
    </w:p>
    <w:p w14:paraId="0C9EFFB9" w14:textId="77777777" w:rsidR="00B44C2E" w:rsidRPr="003F3B0B" w:rsidRDefault="00B44C2E" w:rsidP="00B44C2E">
      <w:pPr>
        <w:pStyle w:val="ListParagraph"/>
        <w:numPr>
          <w:ilvl w:val="0"/>
          <w:numId w:val="2"/>
        </w:numPr>
      </w:pPr>
      <w:r w:rsidRPr="003F3B0B">
        <w:t>The outer pressure armour layer slides relative to the inner layer under bending</w:t>
      </w:r>
    </w:p>
    <w:p w14:paraId="4AC5081D" w14:textId="77777777" w:rsidR="00B44C2E" w:rsidRPr="003F3B0B" w:rsidRDefault="00B44C2E" w:rsidP="00B44C2E">
      <w:pPr>
        <w:pStyle w:val="ListParagraph"/>
        <w:numPr>
          <w:ilvl w:val="0"/>
          <w:numId w:val="2"/>
        </w:numPr>
      </w:pPr>
      <w:r w:rsidRPr="003F3B0B">
        <w:t xml:space="preserve">No </w:t>
      </w:r>
      <w:r w:rsidRPr="003F3B0B">
        <w:rPr>
          <w:noProof/>
        </w:rPr>
        <w:t>ovalisation</w:t>
      </w:r>
      <w:r w:rsidRPr="003F3B0B">
        <w:t xml:space="preserve"> of the riser occurs under bending</w:t>
      </w:r>
    </w:p>
    <w:p w14:paraId="03D52B50" w14:textId="515C0079" w:rsidR="00B44C2E" w:rsidRPr="003F3B0B" w:rsidRDefault="00B44C2E" w:rsidP="00B44C2E">
      <w:pPr>
        <w:pStyle w:val="ListParagraph"/>
        <w:numPr>
          <w:ilvl w:val="0"/>
          <w:numId w:val="2"/>
        </w:numPr>
      </w:pPr>
      <w:r w:rsidRPr="003F3B0B">
        <w:t xml:space="preserve">The angle of rotation, </w:t>
      </w:r>
      <w:r w:rsidRPr="003F3B0B">
        <w:rPr>
          <w:rFonts w:cs="Times New Roman"/>
          <w:i/>
        </w:rPr>
        <w:t>θ</w:t>
      </w:r>
      <w:r w:rsidRPr="003F3B0B">
        <w:t>, remains small (</w:t>
      </w:r>
      <w:proofErr w:type="spellStart"/>
      <w:r w:rsidRPr="003F3B0B">
        <w:rPr>
          <w:i/>
        </w:rPr>
        <w:t>R</w:t>
      </w:r>
      <w:r w:rsidRPr="003F3B0B">
        <w:rPr>
          <w:rFonts w:cs="Times New Roman"/>
          <w:i/>
        </w:rPr>
        <w:t>θ</w:t>
      </w:r>
      <w:proofErr w:type="spellEnd"/>
      <w:r w:rsidRPr="003F3B0B">
        <w:rPr>
          <w:i/>
        </w:rPr>
        <w:t xml:space="preserve"> </w:t>
      </w:r>
      <w:r w:rsidRPr="003F3B0B">
        <w:rPr>
          <w:rFonts w:cs="Times New Roman"/>
        </w:rPr>
        <w:t>≈</w:t>
      </w:r>
      <w:r w:rsidRPr="003F3B0B">
        <w:rPr>
          <w:i/>
        </w:rPr>
        <w:t xml:space="preserve"> l</w:t>
      </w:r>
      <w:r w:rsidRPr="003F3B0B">
        <w:t>, see</w:t>
      </w:r>
      <w:r w:rsidR="007D6F46" w:rsidRPr="003F3B0B">
        <w:t xml:space="preserve"> </w:t>
      </w:r>
      <w:r w:rsidR="007D6F46" w:rsidRPr="003F3B0B">
        <w:fldChar w:fldCharType="begin"/>
      </w:r>
      <w:r w:rsidR="007D6F46" w:rsidRPr="003F3B0B">
        <w:instrText xml:space="preserve"> REF _Ref11244166 \h </w:instrText>
      </w:r>
      <w:r w:rsidR="007D6F46" w:rsidRPr="003F3B0B">
        <w:fldChar w:fldCharType="separate"/>
      </w:r>
      <w:r w:rsidR="003D1AA2" w:rsidRPr="003F3B0B">
        <w:t xml:space="preserve">Figure </w:t>
      </w:r>
      <w:r w:rsidR="003D1AA2" w:rsidRPr="003F3B0B">
        <w:rPr>
          <w:noProof/>
        </w:rPr>
        <w:t>4</w:t>
      </w:r>
      <w:r w:rsidR="007D6F46" w:rsidRPr="003F3B0B">
        <w:fldChar w:fldCharType="end"/>
      </w:r>
      <w:r w:rsidRPr="003F3B0B">
        <w:t>)</w:t>
      </w:r>
    </w:p>
    <w:p w14:paraId="23EB4952" w14:textId="77777777" w:rsidR="00B44C2E" w:rsidRPr="003F3B0B" w:rsidRDefault="00B44C2E" w:rsidP="00B44C2E">
      <w:pPr>
        <w:pStyle w:val="ListParagraph"/>
        <w:numPr>
          <w:ilvl w:val="0"/>
          <w:numId w:val="2"/>
        </w:numPr>
      </w:pPr>
      <w:r w:rsidRPr="003F3B0B">
        <w:t xml:space="preserve">The length of riser modelled, </w:t>
      </w:r>
      <w:r w:rsidRPr="003F3B0B">
        <w:rPr>
          <w:i/>
        </w:rPr>
        <w:t>l</w:t>
      </w:r>
      <w:r w:rsidRPr="003F3B0B">
        <w:t xml:space="preserve">, is small with respect to the bend radius, </w:t>
      </w:r>
      <w:r w:rsidRPr="003F3B0B">
        <w:rPr>
          <w:i/>
        </w:rPr>
        <w:t>R</w:t>
      </w:r>
    </w:p>
    <w:p w14:paraId="14689D8B" w14:textId="77777777" w:rsidR="00B44C2E" w:rsidRPr="003F3B0B" w:rsidRDefault="00B44C2E" w:rsidP="00B44C2E">
      <w:pPr>
        <w:pStyle w:val="ListParagraph"/>
        <w:numPr>
          <w:ilvl w:val="0"/>
          <w:numId w:val="2"/>
        </w:numPr>
      </w:pPr>
      <w:r w:rsidRPr="003F3B0B">
        <w:t>Pure bending occurs about the centre line of the riser</w:t>
      </w:r>
    </w:p>
    <w:p w14:paraId="0C708D4E" w14:textId="77777777" w:rsidR="00B44C2E" w:rsidRPr="003F3B0B" w:rsidRDefault="00B44C2E" w:rsidP="00B44C2E">
      <w:pPr>
        <w:pStyle w:val="ListParagraph"/>
        <w:numPr>
          <w:ilvl w:val="0"/>
          <w:numId w:val="2"/>
        </w:numPr>
      </w:pPr>
      <w:r w:rsidRPr="003F3B0B">
        <w:t>Only elastic behaviour occurs (i.e. plasticity is neglected)</w:t>
      </w:r>
    </w:p>
    <w:p w14:paraId="54E99877" w14:textId="77777777" w:rsidR="00B44C2E" w:rsidRPr="003F3B0B" w:rsidRDefault="00B44C2E" w:rsidP="00B44C2E">
      <w:pPr>
        <w:pStyle w:val="ListParagraph"/>
        <w:numPr>
          <w:ilvl w:val="0"/>
          <w:numId w:val="2"/>
        </w:numPr>
      </w:pPr>
      <w:r w:rsidRPr="003F3B0B">
        <w:t>No additional nub-groove contact pressure occurs due to riser bending</w:t>
      </w:r>
    </w:p>
    <w:p w14:paraId="208AF0BD" w14:textId="48550848" w:rsidR="00B44C2E" w:rsidRPr="003F3B0B" w:rsidRDefault="00B44C2E" w:rsidP="00B44C2E">
      <w:r w:rsidRPr="003F3B0B">
        <w:t xml:space="preserve">The length of the riser section modelled, </w:t>
      </w:r>
      <w:r w:rsidRPr="003F3B0B">
        <w:rPr>
          <w:i/>
        </w:rPr>
        <w:t>l</w:t>
      </w:r>
      <w:r w:rsidRPr="003F3B0B">
        <w:t xml:space="preserve">, in the simplified axisymmetric model is 15 mm, as </w:t>
      </w:r>
      <w:r w:rsidR="00BD7F95" w:rsidRPr="003F3B0B">
        <w:t>described below</w:t>
      </w:r>
      <w:r w:rsidRPr="003F3B0B">
        <w:t xml:space="preserve">, and the minimum bend radius of a riser is typically 1.5 to 3 m (this is the storage radius of the pipe - the bend radius during operation is much larger). Therefore, the angle of rotation, </w:t>
      </w:r>
      <w:r w:rsidRPr="003F3B0B">
        <w:rPr>
          <w:i/>
        </w:rPr>
        <w:t>θ</w:t>
      </w:r>
      <w:r w:rsidRPr="003F3B0B">
        <w:t>, remains small (maximum 0.3</w:t>
      </w:r>
      <w:r w:rsidRPr="003F3B0B">
        <w:rPr>
          <w:rFonts w:ascii="Cambria Math" w:hAnsi="Cambria Math" w:cs="Cambria Math"/>
        </w:rPr>
        <w:t>⁰</w:t>
      </w:r>
      <w:r w:rsidRPr="003F3B0B">
        <w:t xml:space="preserve"> to 0.6</w:t>
      </w:r>
      <w:r w:rsidRPr="003F3B0B">
        <w:rPr>
          <w:rFonts w:ascii="Cambria Math" w:hAnsi="Cambria Math" w:cs="Cambria Math"/>
        </w:rPr>
        <w:t>⁰</w:t>
      </w:r>
      <w:r w:rsidRPr="003F3B0B">
        <w:t xml:space="preserve">), and the section of the riser modelled is small compared to the bend radius (~ 1 %). A schematic of the geometrical </w:t>
      </w:r>
      <w:r w:rsidRPr="003F3B0B">
        <w:lastRenderedPageBreak/>
        <w:t xml:space="preserve">model used to develop the riser curvature-applied displacement, </w:t>
      </w:r>
      <w:r w:rsidRPr="003F3B0B">
        <w:rPr>
          <w:rFonts w:cs="Times New Roman"/>
          <w:i/>
        </w:rPr>
        <w:t>κ</w:t>
      </w:r>
      <w:r w:rsidRPr="003F3B0B">
        <w:t>-</w:t>
      </w:r>
      <w:proofErr w:type="spellStart"/>
      <w:r w:rsidRPr="003F3B0B">
        <w:rPr>
          <w:rFonts w:cs="Times New Roman"/>
          <w:i/>
        </w:rPr>
        <w:t>Δ</w:t>
      </w:r>
      <w:r w:rsidRPr="003F3B0B">
        <w:rPr>
          <w:vertAlign w:val="subscript"/>
        </w:rPr>
        <w:t>app</w:t>
      </w:r>
      <w:proofErr w:type="spellEnd"/>
      <w:r w:rsidRPr="003F3B0B">
        <w:t>, relationship is shown in</w:t>
      </w:r>
      <w:r w:rsidR="007D6F46" w:rsidRPr="003F3B0B">
        <w:t xml:space="preserve"> </w:t>
      </w:r>
      <w:r w:rsidR="007D6F46" w:rsidRPr="003F3B0B">
        <w:fldChar w:fldCharType="begin"/>
      </w:r>
      <w:r w:rsidR="007D6F46" w:rsidRPr="003F3B0B">
        <w:instrText xml:space="preserve"> REF _Ref11244166 \h </w:instrText>
      </w:r>
      <w:r w:rsidR="007D6F46" w:rsidRPr="003F3B0B">
        <w:fldChar w:fldCharType="separate"/>
      </w:r>
      <w:r w:rsidR="003D1AA2" w:rsidRPr="003F3B0B">
        <w:t xml:space="preserve">Figure </w:t>
      </w:r>
      <w:r w:rsidR="003D1AA2" w:rsidRPr="003F3B0B">
        <w:rPr>
          <w:noProof/>
        </w:rPr>
        <w:t>4</w:t>
      </w:r>
      <w:r w:rsidR="007D6F46" w:rsidRPr="003F3B0B">
        <w:fldChar w:fldCharType="end"/>
      </w:r>
      <w:r w:rsidRPr="003F3B0B">
        <w:t xml:space="preserve">, where curvature </w:t>
      </w:r>
      <w:r w:rsidRPr="003F3B0B">
        <w:rPr>
          <w:rFonts w:cs="Times New Roman"/>
          <w:i/>
        </w:rPr>
        <w:t>κ</w:t>
      </w:r>
      <w:r w:rsidRPr="003F3B0B">
        <w:t xml:space="preserve">, is given by the inverse of bend radius, </w:t>
      </w:r>
      <w:r w:rsidRPr="003F3B0B">
        <w:rPr>
          <w:i/>
        </w:rPr>
        <w:t>R</w:t>
      </w:r>
      <w:r w:rsidRPr="003F3B0B">
        <w:t>.</w:t>
      </w:r>
    </w:p>
    <w:p w14:paraId="0D423E88" w14:textId="77777777" w:rsidR="00B44C2E" w:rsidRPr="003F3B0B" w:rsidRDefault="00B44C2E" w:rsidP="00B44C2E">
      <w:r w:rsidRPr="003F3B0B">
        <w:t>From the geometrical construction (model) of</w:t>
      </w:r>
      <w:r w:rsidR="007D6F46" w:rsidRPr="003F3B0B">
        <w:t xml:space="preserve"> </w:t>
      </w:r>
      <w:r w:rsidR="007D6F46" w:rsidRPr="003F3B0B">
        <w:fldChar w:fldCharType="begin"/>
      </w:r>
      <w:r w:rsidR="007D6F46" w:rsidRPr="003F3B0B">
        <w:instrText xml:space="preserve"> REF _Ref11244166 \h </w:instrText>
      </w:r>
      <w:r w:rsidR="007D6F46" w:rsidRPr="003F3B0B">
        <w:fldChar w:fldCharType="separate"/>
      </w:r>
      <w:r w:rsidR="003D1AA2" w:rsidRPr="003F3B0B">
        <w:t xml:space="preserve">Figure </w:t>
      </w:r>
      <w:r w:rsidR="003D1AA2" w:rsidRPr="003F3B0B">
        <w:rPr>
          <w:noProof/>
        </w:rPr>
        <w:t>4</w:t>
      </w:r>
      <w:r w:rsidR="007D6F46" w:rsidRPr="003F3B0B">
        <w:fldChar w:fldCharType="end"/>
      </w:r>
      <w:r w:rsidRPr="003F3B0B">
        <w:t xml:space="preserve">, the angle of rotation, </w:t>
      </w:r>
      <w:r w:rsidRPr="003F3B0B">
        <w:rPr>
          <w:rFonts w:cs="Times New Roman"/>
          <w:i/>
        </w:rPr>
        <w:t>θ</w:t>
      </w:r>
      <w:r w:rsidRPr="003F3B0B">
        <w:t xml:space="preserve">, can be expressed in terms of riser bend radius, </w:t>
      </w:r>
      <w:r w:rsidRPr="003F3B0B">
        <w:rPr>
          <w:i/>
        </w:rPr>
        <w:t>R</w:t>
      </w:r>
      <w:r w:rsidRPr="003F3B0B">
        <w:t xml:space="preserve">, and length of riser section modelled, </w:t>
      </w:r>
      <w:r w:rsidRPr="003F3B0B">
        <w:rPr>
          <w:i/>
        </w:rPr>
        <w:t>l</w:t>
      </w:r>
      <w:r w:rsidRPr="003F3B0B">
        <w:t xml:space="preserve">, as follows: </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708"/>
      </w:tblGrid>
      <w:tr w:rsidR="003F3B0B" w:rsidRPr="003F3B0B" w14:paraId="06FFB8FF" w14:textId="77777777" w:rsidTr="00327B40">
        <w:tc>
          <w:tcPr>
            <w:tcW w:w="8472" w:type="dxa"/>
            <w:vAlign w:val="center"/>
          </w:tcPr>
          <w:p w14:paraId="41659FE7" w14:textId="00B42967" w:rsidR="00B44C2E" w:rsidRPr="003F3B0B" w:rsidRDefault="001A50E8" w:rsidP="00B44C2E">
            <w:pPr>
              <w:jc w:val="center"/>
              <w:rPr>
                <w:rFonts w:eastAsiaTheme="minorEastAsia"/>
              </w:rPr>
            </w:pPr>
            <m:oMathPara>
              <m:oMath>
                <m:r>
                  <w:rPr>
                    <w:rFonts w:ascii="Cambria Math"/>
                  </w:rPr>
                  <m:t>θ</m:t>
                </m:r>
                <m:r>
                  <w:rPr>
                    <w:rFonts w:ascii="Cambria Math"/>
                  </w:rPr>
                  <m:t>≈</m:t>
                </m:r>
                <m:func>
                  <m:funcPr>
                    <m:ctrlPr>
                      <w:rPr>
                        <w:rFonts w:ascii="Cambria Math" w:hAnsi="Cambria Math"/>
                        <w:i/>
                      </w:rPr>
                    </m:ctrlPr>
                  </m:funcPr>
                  <m:fName>
                    <m:r>
                      <w:rPr>
                        <w:rFonts w:ascii="Cambria Math"/>
                      </w:rPr>
                      <m:t>2</m:t>
                    </m:r>
                    <m:func>
                      <m:funcPr>
                        <m:ctrlPr>
                          <w:rPr>
                            <w:rFonts w:ascii="Cambria Math" w:hAnsi="Cambria Math"/>
                            <w:i/>
                          </w:rPr>
                        </m:ctrlPr>
                      </m:funcPr>
                      <m:fName>
                        <m:sSup>
                          <m:sSupPr>
                            <m:ctrlPr>
                              <w:rPr>
                                <w:rFonts w:ascii="Cambria Math" w:hAnsi="Cambria Math"/>
                                <w:i/>
                              </w:rPr>
                            </m:ctrlPr>
                          </m:sSupPr>
                          <m:e>
                            <m:r>
                              <w:rPr>
                                <w:rFonts w:ascii="Cambria Math"/>
                              </w:rPr>
                              <m:t>sin</m:t>
                            </m:r>
                          </m:e>
                          <m:sup>
                            <m:r>
                              <w:rPr>
                                <w:rFonts w:ascii="Cambria Math"/>
                              </w:rPr>
                              <m:t>-</m:t>
                            </m:r>
                            <m:r>
                              <w:rPr>
                                <w:rFonts w:ascii="Cambria Math"/>
                              </w:rPr>
                              <m:t>1</m:t>
                            </m:r>
                          </m:sup>
                        </m:sSup>
                      </m:fName>
                      <m:e>
                        <m:d>
                          <m:dPr>
                            <m:ctrlPr>
                              <w:rPr>
                                <w:rFonts w:ascii="Cambria Math" w:hAnsi="Cambria Math"/>
                                <w:i/>
                              </w:rPr>
                            </m:ctrlPr>
                          </m:dPr>
                          <m:e>
                            <m:r>
                              <w:rPr>
                                <w:rFonts w:ascii="Cambria Math"/>
                              </w:rPr>
                              <m:t>κ</m:t>
                            </m:r>
                            <m:f>
                              <m:fPr>
                                <m:ctrlPr>
                                  <w:rPr>
                                    <w:rFonts w:ascii="Cambria Math" w:hAnsi="Cambria Math"/>
                                    <w:i/>
                                  </w:rPr>
                                </m:ctrlPr>
                              </m:fPr>
                              <m:num>
                                <m:r>
                                  <w:rPr>
                                    <w:rFonts w:ascii="Cambria Math"/>
                                  </w:rPr>
                                  <m:t>l</m:t>
                                </m:r>
                              </m:num>
                              <m:den>
                                <m:r>
                                  <w:rPr>
                                    <w:rFonts w:ascii="Cambria Math"/>
                                  </w:rPr>
                                  <m:t>2</m:t>
                                </m:r>
                              </m:den>
                            </m:f>
                          </m:e>
                        </m:d>
                      </m:e>
                    </m:func>
                  </m:fName>
                  <m:e>
                    <m:r>
                      <w:rPr>
                        <w:rFonts w:ascii="Cambria Math" w:hAnsi="Cambria Math"/>
                      </w:rPr>
                      <m:t xml:space="preserve"> </m:t>
                    </m:r>
                  </m:e>
                </m:func>
              </m:oMath>
            </m:oMathPara>
          </w:p>
        </w:tc>
        <w:tc>
          <w:tcPr>
            <w:tcW w:w="708" w:type="dxa"/>
            <w:vAlign w:val="center"/>
          </w:tcPr>
          <w:p w14:paraId="72B4391B" w14:textId="77777777" w:rsidR="00B44C2E" w:rsidRPr="003F3B0B" w:rsidRDefault="003D3FD0" w:rsidP="00B44C2E">
            <w:pPr>
              <w:pStyle w:val="Caption"/>
              <w:spacing w:after="0"/>
              <w:jc w:val="right"/>
              <w:rPr>
                <w:rFonts w:ascii="Calibri" w:hAnsi="Calibri"/>
              </w:rPr>
            </w:pPr>
            <w:r w:rsidRPr="003F3B0B">
              <w:t>(</w:t>
            </w:r>
            <w:fldSimple w:instr=" SEQ 7. \* ARABIC ">
              <w:r w:rsidR="003D1AA2" w:rsidRPr="003F3B0B">
                <w:rPr>
                  <w:noProof/>
                </w:rPr>
                <w:t>2</w:t>
              </w:r>
            </w:fldSimple>
            <w:r w:rsidR="00B44C2E" w:rsidRPr="003F3B0B">
              <w:t>)</w:t>
            </w:r>
          </w:p>
        </w:tc>
      </w:tr>
    </w:tbl>
    <w:p w14:paraId="1B68CF9A" w14:textId="11D11ACB" w:rsidR="00B44C2E" w:rsidRPr="003F3B0B" w:rsidRDefault="00EB56D3" w:rsidP="00B44C2E">
      <w:proofErr w:type="gramStart"/>
      <w:r w:rsidRPr="003F3B0B">
        <w:t>w</w:t>
      </w:r>
      <w:r w:rsidR="00B44C2E" w:rsidRPr="003F3B0B">
        <w:t>here</w:t>
      </w:r>
      <w:proofErr w:type="gramEnd"/>
      <w:r w:rsidR="001A50E8" w:rsidRPr="003F3B0B">
        <w:t xml:space="preserve"> </w:t>
      </w:r>
      <w:r w:rsidR="00B44C2E" w:rsidRPr="003F3B0B">
        <w:rPr>
          <w:i/>
        </w:rPr>
        <w:t>l</w:t>
      </w:r>
      <w:r w:rsidR="00B44C2E" w:rsidRPr="003F3B0B">
        <w:t xml:space="preserve"> </w:t>
      </w:r>
      <w:r w:rsidR="001A50E8" w:rsidRPr="003F3B0B">
        <w:t>is</w:t>
      </w:r>
      <w:r w:rsidR="00B44C2E" w:rsidRPr="003F3B0B">
        <w:t xml:space="preserve"> as shown in</w:t>
      </w:r>
      <w:r w:rsidR="007D6F46" w:rsidRPr="003F3B0B">
        <w:t xml:space="preserve"> </w:t>
      </w:r>
      <w:r w:rsidR="007D6F46" w:rsidRPr="003F3B0B">
        <w:fldChar w:fldCharType="begin"/>
      </w:r>
      <w:r w:rsidR="007D6F46" w:rsidRPr="003F3B0B">
        <w:instrText xml:space="preserve"> REF _Ref11244166 \h </w:instrText>
      </w:r>
      <w:r w:rsidR="007D6F46" w:rsidRPr="003F3B0B">
        <w:fldChar w:fldCharType="separate"/>
      </w:r>
      <w:r w:rsidR="003D1AA2" w:rsidRPr="003F3B0B">
        <w:t xml:space="preserve">Figure </w:t>
      </w:r>
      <w:r w:rsidR="003D1AA2" w:rsidRPr="003F3B0B">
        <w:rPr>
          <w:noProof/>
        </w:rPr>
        <w:t>4</w:t>
      </w:r>
      <w:r w:rsidR="007D6F46" w:rsidRPr="003F3B0B">
        <w:fldChar w:fldCharType="end"/>
      </w:r>
      <w:r w:rsidR="00B44C2E" w:rsidRPr="003F3B0B">
        <w:t xml:space="preserve">. Assuming that the outer pressure armour layer slides as a rigid body relative to the inner layer, the relative applied displacement, </w:t>
      </w:r>
      <w:proofErr w:type="spellStart"/>
      <w:r w:rsidR="00B44C2E" w:rsidRPr="003F3B0B">
        <w:rPr>
          <w:rFonts w:cs="Times New Roman"/>
          <w:i/>
        </w:rPr>
        <w:t>Δ</w:t>
      </w:r>
      <w:r w:rsidR="00B44C2E" w:rsidRPr="003F3B0B">
        <w:rPr>
          <w:vertAlign w:val="subscript"/>
        </w:rPr>
        <w:t>app</w:t>
      </w:r>
      <w:proofErr w:type="spellEnd"/>
      <w:r w:rsidR="00B44C2E" w:rsidRPr="003F3B0B">
        <w:t xml:space="preserve">, can be approximated as follows, for small </w:t>
      </w:r>
      <w:r w:rsidR="00B44C2E" w:rsidRPr="003F3B0B">
        <w:rPr>
          <w:rFonts w:cs="Times New Roman"/>
          <w:i/>
        </w:rPr>
        <w:t>θ</w:t>
      </w:r>
      <w:r w:rsidR="00B44C2E" w:rsidRPr="003F3B0B">
        <w:t>:</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708"/>
      </w:tblGrid>
      <w:tr w:rsidR="003F3B0B" w:rsidRPr="003F3B0B" w14:paraId="626F12AA" w14:textId="77777777" w:rsidTr="00327B40">
        <w:tc>
          <w:tcPr>
            <w:tcW w:w="8472" w:type="dxa"/>
            <w:vAlign w:val="center"/>
          </w:tcPr>
          <w:p w14:paraId="1EF10CEE" w14:textId="0BF34314" w:rsidR="00B44C2E" w:rsidRPr="003F3B0B" w:rsidRDefault="007C3A67" w:rsidP="00B44C2E">
            <w:pPr>
              <w:jc w:val="center"/>
            </w:pPr>
            <m:oMath>
              <m:sSub>
                <m:sSubPr>
                  <m:ctrlPr>
                    <w:rPr>
                      <w:rFonts w:ascii="Cambria Math" w:hAnsi="Cambria Math"/>
                      <w:i/>
                    </w:rPr>
                  </m:ctrlPr>
                </m:sSubPr>
                <m:e>
                  <m:r>
                    <w:rPr>
                      <w:rFonts w:ascii="Cambria Math"/>
                    </w:rPr>
                    <m:t>Δ</m:t>
                  </m:r>
                </m:e>
                <m:sub>
                  <m:r>
                    <w:rPr>
                      <w:rFonts w:ascii="Cambria Math"/>
                    </w:rPr>
                    <m:t>ap</m:t>
                  </m:r>
                  <m:r>
                    <w:rPr>
                      <w:rFonts w:ascii="Cambria Math"/>
                    </w:rPr>
                    <m:t>p</m:t>
                  </m:r>
                </m:sub>
              </m:sSub>
              <m:r>
                <w:rPr>
                  <w:rFonts w:ascii="Cambria Math"/>
                </w:rPr>
                <m:t>≈±</m:t>
              </m:r>
              <m:r>
                <w:rPr>
                  <w:rFonts w:ascii="Cambria Math"/>
                </w:rPr>
                <m:t>yθ</m:t>
              </m:r>
            </m:oMath>
            <w:r w:rsidR="004B6352" w:rsidRPr="003F3B0B">
              <w:rPr>
                <w:position w:val="-14"/>
              </w:rPr>
              <w:t xml:space="preserve"> </w:t>
            </w:r>
          </w:p>
        </w:tc>
        <w:tc>
          <w:tcPr>
            <w:tcW w:w="708" w:type="dxa"/>
            <w:vAlign w:val="center"/>
          </w:tcPr>
          <w:p w14:paraId="2089D2F7" w14:textId="77777777" w:rsidR="00B44C2E" w:rsidRPr="003F3B0B" w:rsidRDefault="003D3FD0" w:rsidP="00B44C2E">
            <w:pPr>
              <w:pStyle w:val="Caption"/>
              <w:spacing w:after="0"/>
              <w:jc w:val="right"/>
              <w:rPr>
                <w:rFonts w:ascii="Calibri" w:hAnsi="Calibri"/>
              </w:rPr>
            </w:pPr>
            <w:bookmarkStart w:id="0" w:name="_Ref464912193"/>
            <w:r w:rsidRPr="003F3B0B">
              <w:t>(</w:t>
            </w:r>
            <w:fldSimple w:instr=" SEQ 7. \* ARABIC ">
              <w:r w:rsidR="003D1AA2" w:rsidRPr="003F3B0B">
                <w:rPr>
                  <w:noProof/>
                </w:rPr>
                <w:t>3</w:t>
              </w:r>
            </w:fldSimple>
            <w:bookmarkEnd w:id="0"/>
            <w:r w:rsidR="00B44C2E" w:rsidRPr="003F3B0B">
              <w:t>)</w:t>
            </w:r>
          </w:p>
        </w:tc>
      </w:tr>
    </w:tbl>
    <w:p w14:paraId="5A2BE1CB" w14:textId="5DC59981" w:rsidR="00B44C2E" w:rsidRPr="003F3B0B" w:rsidRDefault="00B44C2E" w:rsidP="00B44C2E">
      <w:proofErr w:type="gramStart"/>
      <w:r w:rsidRPr="003F3B0B">
        <w:t>where</w:t>
      </w:r>
      <w:proofErr w:type="gramEnd"/>
      <w:r w:rsidRPr="003F3B0B">
        <w:t xml:space="preserve"> </w:t>
      </w:r>
      <w:r w:rsidRPr="003F3B0B">
        <w:rPr>
          <w:i/>
        </w:rPr>
        <w:t>y</w:t>
      </w:r>
      <w:r w:rsidRPr="003F3B0B">
        <w:t xml:space="preserve"> is the distance from the central riser axis to the nub-groove interface, as shown in</w:t>
      </w:r>
      <w:r w:rsidR="007D6F46" w:rsidRPr="003F3B0B">
        <w:t xml:space="preserve"> </w:t>
      </w:r>
      <w:r w:rsidR="007D6F46" w:rsidRPr="003F3B0B">
        <w:fldChar w:fldCharType="begin"/>
      </w:r>
      <w:r w:rsidR="007D6F46" w:rsidRPr="003F3B0B">
        <w:instrText xml:space="preserve"> REF _Ref11244166 \h </w:instrText>
      </w:r>
      <w:r w:rsidR="007D6F46" w:rsidRPr="003F3B0B">
        <w:fldChar w:fldCharType="separate"/>
      </w:r>
      <w:r w:rsidR="003D1AA2" w:rsidRPr="003F3B0B">
        <w:t xml:space="preserve">Figure </w:t>
      </w:r>
      <w:r w:rsidR="003D1AA2" w:rsidRPr="003F3B0B">
        <w:rPr>
          <w:noProof/>
        </w:rPr>
        <w:t>4</w:t>
      </w:r>
      <w:r w:rsidR="007D6F46" w:rsidRPr="003F3B0B">
        <w:fldChar w:fldCharType="end"/>
      </w:r>
      <w:r w:rsidRPr="003F3B0B">
        <w:t>.</w:t>
      </w:r>
    </w:p>
    <w:p w14:paraId="0C1D7E54" w14:textId="77777777" w:rsidR="00AE3B0E" w:rsidRPr="003F3B0B" w:rsidRDefault="00AE3B0E" w:rsidP="00AE3B0E"/>
    <w:p w14:paraId="62841B02" w14:textId="77777777" w:rsidR="00AE3B0E" w:rsidRPr="003F3B0B" w:rsidRDefault="00AE3B0E" w:rsidP="00AE3B0E">
      <w:pPr>
        <w:pStyle w:val="Heading1"/>
      </w:pPr>
      <w:r w:rsidRPr="003F3B0B">
        <w:t>Local nub-groove analysis</w:t>
      </w:r>
    </w:p>
    <w:p w14:paraId="010CF8EF" w14:textId="77777777" w:rsidR="00AE3B0E" w:rsidRPr="003F3B0B" w:rsidRDefault="00315333" w:rsidP="00AE3B0E">
      <w:pPr>
        <w:pStyle w:val="Heading2"/>
      </w:pPr>
      <w:r w:rsidRPr="003F3B0B">
        <w:t>E</w:t>
      </w:r>
      <w:r w:rsidR="00AE3B0E" w:rsidRPr="003F3B0B">
        <w:t xml:space="preserve">xperimental </w:t>
      </w:r>
      <w:r w:rsidR="00D27160" w:rsidRPr="003F3B0B">
        <w:t>characterisation</w:t>
      </w:r>
      <w:r w:rsidR="00AE3B0E" w:rsidRPr="003F3B0B">
        <w:t xml:space="preserve"> of </w:t>
      </w:r>
      <w:r w:rsidRPr="003F3B0B">
        <w:t xml:space="preserve">fretting of </w:t>
      </w:r>
      <w:r w:rsidR="00AE3B0E" w:rsidRPr="003F3B0B">
        <w:t xml:space="preserve">pressure armour material </w:t>
      </w:r>
    </w:p>
    <w:p w14:paraId="6E879E7F" w14:textId="0DE76BDB" w:rsidR="00723C3C" w:rsidRPr="003F3B0B" w:rsidRDefault="001D5413" w:rsidP="001D5413">
      <w:r w:rsidRPr="003F3B0B">
        <w:t xml:space="preserve">A </w:t>
      </w:r>
      <w:r w:rsidR="00C76A7A" w:rsidRPr="003F3B0B">
        <w:t xml:space="preserve">custom </w:t>
      </w:r>
      <w:r w:rsidRPr="003F3B0B">
        <w:t xml:space="preserve">fretting test rig was </w:t>
      </w:r>
      <w:r w:rsidR="00C76A7A" w:rsidRPr="003F3B0B">
        <w:t xml:space="preserve">developed and </w:t>
      </w:r>
      <w:r w:rsidRPr="003F3B0B">
        <w:t xml:space="preserve">designed to measure coefficient of friction and quantify fretting behaviour of materials, in particular, pressure armour wire material. </w:t>
      </w:r>
      <w:r w:rsidR="00723C3C" w:rsidRPr="003F3B0B">
        <w:t xml:space="preserve">The primary function of these experimental tests is to validate the previously published use of a representative pressure armour material for the characterisation of coefficient of friction and wear coefficient </w:t>
      </w:r>
      <w:r w:rsidR="00723C3C" w:rsidRPr="003F3B0B">
        <w:fldChar w:fldCharType="begin" w:fldLock="1"/>
      </w:r>
      <w:r w:rsidR="00EF5D3F" w:rsidRPr="003F3B0B">
        <w:instrText>ADDIN CSL_CITATION { "citationItems" : [ { "id" : "ITEM-1", "itemData" : { "DOI" : "10.1016/J.TRIBOINT.2017.07.032", "ISSN" : "0301-679X", "abstract" : "This paper presents an experimental investigation into the effects of contact conformity, contact pressure and displacement amplitude on gross-slip fretting behaviour for grease-lubricated cylinder-on-flat contacts in the context of flexible marine riser pressure armour wire, and compares behaviour with that observed in unlubricated conditions. Characterisation of friction and wear is critical to fretting fatigue life prediction in flexible risers since friction directly controls trailing-edge fretting stresses and hence fatigue crack initiation, on the one hand, and on the other hand, directly affects wear via relative tangential slip (displacement). Wear can have a beneficial or detrimental effect on fatigue crack initiation and propagation, depending on relative slip and slip regime. For the grease-lubricated conditions, the behaviour is determined by whether grease can be retained in the contact (as opposed to being extruded out). Retention (or replenishment) of grease in the contact results in low rates of wear and low coefficients of friction; these conditions are favoured by fretting displacements above a critical value, by low contact conformity, and by low applied loads.", "author" : [ { "dropping-particle" : "", "family" : "O'Halloran", "given" : "S.M.", "non-dropping-particle" : "", "parse-names" : false, "suffix" : "" }, { "dropping-particle" : "", "family" : "Harte", "given" : "A.M.", "non-dropping-particle" : "", "parse-names" : false, "suffix" : "" }, { "dropping-particle" : "", "family" : "Shipway", "given" : "P.H.", "non-dropping-particle" : "", "parse-names" : false, "suffix" : "" }, { "dropping-particle" : "", "family" : "Leen", "given" : "S.B.", "non-dropping-particle" : "", "parse-names" : false, "suffix" : "" } ], "container-title" : "Tribology International", "id" : "ITEM-1", "issued" : { "date-parts" : [ [ "2018", "1" ] ] }, "page" : "141-151", "publisher" : "Elsevier", "title" : "An experimental study on the key fretting variables for flexible marine risers", "type" : "article-journal", "volume" : "117" }, "uris" : [ "http://www.mendeley.com/documents/?uuid=80f2b63a-12ce-4eac-859b-573b666a402f" ] } ], "mendeley" : { "formattedCitation" : "[21]", "plainTextFormattedCitation" : "[21]", "previouslyFormattedCitation" : "[21]" }, "properties" : { "noteIndex" : 11 }, "schema" : "https://github.com/citation-style-language/schema/raw/master/csl-citation.json" }</w:instrText>
      </w:r>
      <w:r w:rsidR="00723C3C" w:rsidRPr="003F3B0B">
        <w:fldChar w:fldCharType="separate"/>
      </w:r>
      <w:r w:rsidR="00EF5D3F" w:rsidRPr="003F3B0B">
        <w:rPr>
          <w:noProof/>
        </w:rPr>
        <w:t>[21]</w:t>
      </w:r>
      <w:r w:rsidR="00723C3C" w:rsidRPr="003F3B0B">
        <w:fldChar w:fldCharType="end"/>
      </w:r>
      <w:r w:rsidR="00723C3C" w:rsidRPr="003F3B0B">
        <w:t>. The results from th</w:t>
      </w:r>
      <w:r w:rsidR="009E7D70" w:rsidRPr="003F3B0B">
        <w:t>e</w:t>
      </w:r>
      <w:r w:rsidR="00723C3C" w:rsidRPr="003F3B0B">
        <w:t xml:space="preserve"> previous study were used to develop </w:t>
      </w:r>
      <w:r w:rsidR="00D97A7A" w:rsidRPr="003F3B0B">
        <w:t xml:space="preserve">computational </w:t>
      </w:r>
      <w:r w:rsidR="00723C3C" w:rsidRPr="003F3B0B">
        <w:t>wear models for the nub-groove contact</w:t>
      </w:r>
      <w:r w:rsidR="00D97A7A" w:rsidRPr="003F3B0B">
        <w:t xml:space="preserve"> </w:t>
      </w:r>
      <w:r w:rsidR="00D97A7A" w:rsidRPr="003F3B0B">
        <w:fldChar w:fldCharType="begin" w:fldLock="1"/>
      </w:r>
      <w:r w:rsidR="00EF5D3F" w:rsidRPr="003F3B0B">
        <w:instrText>ADDIN CSL_CITATION { "citationItems" : [ { "id" : "ITEM-1", "itemData" : { "DOI" : "10.1016/J.TRIBOINT.2016.10.020", "ISSN" : "0301-679X", "abstract" : "This paper presents a combined experimental and computational methodology for fretting wear-fatigue prediction of pressure armour wire in flexible marine risers. Fretting wear, friction and fatigue parameters of pressure armour material have been characterised experimentally. A combined fretting wear-fatigue finite element model has been developed using an adaptive meshing technique and the effect of bending-induced tangential slip has been characterised. It has been shown that a surface damage parameter combined with a multiaxial fatigue parameter can accurately predict the beneficial effect of fretting wear on fatigue predictions. This provides a computationally efficient design tool for fretting in the pressure armour layer of flexible marine risers.", "author" : [ { "dropping-particle" : "", "family" : "O\u2019Halloran", "given" : "S.M.", "non-dropping-particle" : "", "parse-names" : false, "suffix" : "" }, { "dropping-particle" : "", "family" : "Shipway", "given" : "P.H.", "non-dropping-particle" : "", "parse-names" : false, "suffix" : "" }, { "dropping-particle" : "", "family" : "Connaire", "given" : "A.D.", "non-dropping-particle" : "", "parse-names" : false, "suffix" : "" }, { "dropping-particle" : "", "family" : "Leen", "given" : "S.B.", "non-dropping-particle" : "", "parse-names" : false, "suffix" : "" }, { "dropping-particle" : "", "family" : "Harte", "given" : "A.M.", "non-dropping-particle" : "", "parse-names" : false, "suffix" : "" } ], "container-title" : "Tribology International", "id" : "ITEM-1", "issued" : { "date-parts" : [ [ "2017", "4" ] ] }, "page" : "7-15", "publisher" : "Elsevier", "title" : "A combined wear-fatigue design methodology for fretting in the pressure armour layer of flexible marine risers", "type" : "article-journal", "volume" : "108" }, "uris" : [ "http://www.mendeley.com/documents/?uuid=185157f9-3db6-4b4e-b1c3-f959292fae47" ] } ], "mendeley" : { "formattedCitation" : "[23]", "plainTextFormattedCitation" : "[23]", "previouslyFormattedCitation" : "[23]" }, "properties" : { "noteIndex" : 11 }, "schema" : "https://github.com/citation-style-language/schema/raw/master/csl-citation.json" }</w:instrText>
      </w:r>
      <w:r w:rsidR="00D97A7A" w:rsidRPr="003F3B0B">
        <w:fldChar w:fldCharType="separate"/>
      </w:r>
      <w:r w:rsidR="00EF5D3F" w:rsidRPr="003F3B0B">
        <w:rPr>
          <w:noProof/>
        </w:rPr>
        <w:t>[23]</w:t>
      </w:r>
      <w:r w:rsidR="00D97A7A" w:rsidRPr="003F3B0B">
        <w:fldChar w:fldCharType="end"/>
      </w:r>
      <w:r w:rsidR="00D97A7A" w:rsidRPr="003F3B0B">
        <w:t xml:space="preserve">. </w:t>
      </w:r>
      <w:r w:rsidR="00836D1D" w:rsidRPr="003F3B0B">
        <w:t>The development of this test rig has allowed for validation of these previously</w:t>
      </w:r>
      <w:r w:rsidR="009E7D70" w:rsidRPr="003F3B0B">
        <w:t>-</w:t>
      </w:r>
      <w:r w:rsidR="00836D1D" w:rsidRPr="003F3B0B">
        <w:t xml:space="preserve">developed computational wear models for pressure armour material and under more representative local loading conditions, i.e. </w:t>
      </w:r>
      <w:r w:rsidR="00836D1D" w:rsidRPr="003F3B0B">
        <w:lastRenderedPageBreak/>
        <w:t>maximum contact pressure and contact slip, which have been calculated from the global-local riser analysis described here.</w:t>
      </w:r>
    </w:p>
    <w:p w14:paraId="69B68B84" w14:textId="63D871EF" w:rsidR="001D5413" w:rsidRPr="003F3B0B" w:rsidRDefault="00D218F3" w:rsidP="001D5413">
      <w:r w:rsidRPr="003F3B0B">
        <w:fldChar w:fldCharType="begin"/>
      </w:r>
      <w:r w:rsidRPr="003F3B0B">
        <w:instrText xml:space="preserve"> REF _Ref11247842 \h </w:instrText>
      </w:r>
      <w:r w:rsidRPr="003F3B0B">
        <w:fldChar w:fldCharType="separate"/>
      </w:r>
      <w:r w:rsidR="003D1AA2" w:rsidRPr="003F3B0B">
        <w:t xml:space="preserve">Figure </w:t>
      </w:r>
      <w:r w:rsidR="003D1AA2" w:rsidRPr="003F3B0B">
        <w:rPr>
          <w:noProof/>
        </w:rPr>
        <w:t>5</w:t>
      </w:r>
      <w:r w:rsidRPr="003F3B0B">
        <w:fldChar w:fldCharType="end"/>
      </w:r>
      <w:r w:rsidR="001D5413" w:rsidRPr="003F3B0B">
        <w:t xml:space="preserve"> </w:t>
      </w:r>
      <w:r w:rsidR="001A50E8" w:rsidRPr="003F3B0B">
        <w:t xml:space="preserve">shows the labelled </w:t>
      </w:r>
      <w:r w:rsidR="001D5413" w:rsidRPr="003F3B0B">
        <w:t xml:space="preserve">fretting rig. The main components include crossed-cylinder specimen configuration, a linear drive line with a piezoelectric actuator to produce reciprocating displacement and a collet to fix the test specimen in place, dead weight normal loading and displacement </w:t>
      </w:r>
      <w:r w:rsidR="006B7AB9" w:rsidRPr="003F3B0B">
        <w:t xml:space="preserve">sensor </w:t>
      </w:r>
      <w:r w:rsidR="001D5413" w:rsidRPr="003F3B0B">
        <w:t xml:space="preserve">(DVRT) and force sensors connected to a PC via a data acquisition unit. </w:t>
      </w:r>
    </w:p>
    <w:p w14:paraId="1B13249E" w14:textId="17B0770C" w:rsidR="001D5413" w:rsidRPr="003F3B0B" w:rsidRDefault="001D5413" w:rsidP="001D5413">
      <w:r w:rsidRPr="003F3B0B">
        <w:t>The use of a piezoelectric actuator allows for</w:t>
      </w:r>
      <w:r w:rsidR="006B7AB9" w:rsidRPr="003F3B0B">
        <w:t xml:space="preserve"> closed-loop controlled cyclical</w:t>
      </w:r>
      <w:r w:rsidRPr="003F3B0B">
        <w:t xml:space="preserve"> displacements of </w:t>
      </w:r>
      <w:r w:rsidRPr="003F3B0B">
        <w:rPr>
          <w:rFonts w:cs="Times New Roman"/>
        </w:rPr>
        <w:t xml:space="preserve">± </w:t>
      </w:r>
      <w:r w:rsidRPr="003F3B0B">
        <w:t xml:space="preserve">1 to 15 </w:t>
      </w:r>
      <w:proofErr w:type="spellStart"/>
      <w:r w:rsidRPr="003F3B0B">
        <w:rPr>
          <w:rFonts w:cs="Times New Roman"/>
        </w:rPr>
        <w:t>μ</w:t>
      </w:r>
      <w:r w:rsidRPr="003F3B0B">
        <w:t>m</w:t>
      </w:r>
      <w:proofErr w:type="spellEnd"/>
      <w:r w:rsidRPr="003F3B0B">
        <w:t xml:space="preserve"> and a maximum tangential force of 172</w:t>
      </w:r>
      <w:r w:rsidR="001A50E8" w:rsidRPr="003F3B0B">
        <w:t xml:space="preserve"> </w:t>
      </w:r>
      <w:r w:rsidRPr="003F3B0B">
        <w:t>N (resulting in typical of riser</w:t>
      </w:r>
      <w:r w:rsidR="00893FE1" w:rsidRPr="003F3B0B">
        <w:t xml:space="preserve"> nub-groove contact pressure</w:t>
      </w:r>
      <w:r w:rsidR="00C76A7A" w:rsidRPr="003F3B0B">
        <w:t>s</w:t>
      </w:r>
      <w:r w:rsidR="00893FE1" w:rsidRPr="003F3B0B">
        <w:t xml:space="preserve"> of 700 to </w:t>
      </w:r>
      <w:r w:rsidR="00D27160" w:rsidRPr="003F3B0B">
        <w:t>1700 MPa</w:t>
      </w:r>
      <w:r w:rsidR="006B7AB9" w:rsidRPr="003F3B0B">
        <w:t>)</w:t>
      </w:r>
      <w:r w:rsidRPr="003F3B0B">
        <w:t xml:space="preserve">. A piezoelectric force sensor and DVRT are used to measure the tangential force and displacement, respectively. </w:t>
      </w:r>
      <w:r w:rsidR="004D699B" w:rsidRPr="003F3B0B">
        <w:t xml:space="preserve">A </w:t>
      </w:r>
      <w:proofErr w:type="spellStart"/>
      <w:r w:rsidRPr="003F3B0B">
        <w:t>LabView</w:t>
      </w:r>
      <w:proofErr w:type="spellEnd"/>
      <w:r w:rsidRPr="003F3B0B">
        <w:t xml:space="preserve"> program </w:t>
      </w:r>
      <w:r w:rsidR="004D699B" w:rsidRPr="003F3B0B">
        <w:t xml:space="preserve">has been developed to allow </w:t>
      </w:r>
      <w:r w:rsidRPr="003F3B0B">
        <w:t xml:space="preserve">for simultaneous actuator control and data acquisition to take place. </w:t>
      </w:r>
    </w:p>
    <w:p w14:paraId="48708249" w14:textId="105C0464" w:rsidR="004D699B" w:rsidRPr="003F3B0B" w:rsidRDefault="004D699B" w:rsidP="004D699B">
      <w:r w:rsidRPr="003F3B0B">
        <w:t xml:space="preserve">Fretting experiments were conducted on </w:t>
      </w:r>
      <w:r w:rsidRPr="003F3B0B">
        <w:rPr>
          <w:noProof/>
        </w:rPr>
        <w:t>pre-drawn</w:t>
      </w:r>
      <w:r w:rsidRPr="003F3B0B">
        <w:t xml:space="preserve"> pressure armour, </w:t>
      </w:r>
      <w:proofErr w:type="spellStart"/>
      <w:r w:rsidRPr="003F3B0B">
        <w:t>pearlitic</w:t>
      </w:r>
      <w:proofErr w:type="spellEnd"/>
      <w:r w:rsidRPr="003F3B0B">
        <w:t xml:space="preserve"> steel material</w:t>
      </w:r>
      <w:r w:rsidR="00C76A7A" w:rsidRPr="003F3B0B">
        <w:t xml:space="preserve"> </w:t>
      </w:r>
      <w:r w:rsidR="00EB56D3" w:rsidRPr="003F3B0B">
        <w:fldChar w:fldCharType="begin" w:fldLock="1"/>
      </w:r>
      <w:r w:rsidR="00EF5D3F" w:rsidRPr="003F3B0B">
        <w:instrText>ADDIN CSL_CITATION { "citationItems" : [ { "id" : "ITEM-1", "itemData" : { "author" : [ { "dropping-particle" : "", "family" : "Ashton", "given" : "Patrick", "non-dropping-particle" : "", "parse-names" : false, "suffix" : "" } ], "id" : "ITEM-1", "issued" : { "date-parts" : [ [ "2018" ] ] }, "publisher" : "Ph.D. Thesis, Mechanical Engineering, National University of Ireland Galway", "title" : "Micromechanical modelling of size effects in crack initiation with application to fretting fatigue and cold dwell fatigue", "type" : "thesis" }, "uris" : [ "http://www.mendeley.com/documents/?uuid=a15aeada-3fa0-4fa1-bb5b-edd27cacecad" ] } ], "mendeley" : { "formattedCitation" : "[39]", "plainTextFormattedCitation" : "[39]", "previouslyFormattedCitation" : "[39]" }, "properties" : { "noteIndex" : 12 }, "schema" : "https://github.com/citation-style-language/schema/raw/master/csl-citation.json" }</w:instrText>
      </w:r>
      <w:r w:rsidR="00EB56D3" w:rsidRPr="003F3B0B">
        <w:fldChar w:fldCharType="separate"/>
      </w:r>
      <w:r w:rsidR="00EF5D3F" w:rsidRPr="003F3B0B">
        <w:rPr>
          <w:noProof/>
        </w:rPr>
        <w:t>[39]</w:t>
      </w:r>
      <w:r w:rsidR="00EB56D3" w:rsidRPr="003F3B0B">
        <w:fldChar w:fldCharType="end"/>
      </w:r>
      <w:r w:rsidR="00EB56D3" w:rsidRPr="003F3B0B">
        <w:t xml:space="preserve"> using the newly-designed fretting test rig </w:t>
      </w:r>
      <w:r w:rsidR="00C76A7A" w:rsidRPr="003F3B0B">
        <w:fldChar w:fldCharType="begin" w:fldLock="1"/>
      </w:r>
      <w:r w:rsidR="00EF5D3F" w:rsidRPr="003F3B0B">
        <w:instrText>ADDIN CSL_CITATION { "citationItems" : [ { "id" : "ITEM-1", "itemData" : { "author" : [ { "dropping-particle" : "", "family" : "O'Halloran", "given" : "Sin\u00e9ad M.", "non-dropping-particle" : "", "parse-names" : false, "suffix" : "" } ], "id" : "ITEM-1", "issued" : { "date-parts" : [ [ "2017" ] ] }, "publisher" : "Ph.D. Thesis, Mechanical Engineering, National University of Ireland Galway", "title" : "Experimental Characterisation , Computational Modelling and Design Tool Development for Fretting Fatigue and Wear in Flexible Marine Risers", "type" : "thesis" }, "uris" : [ "http://www.mendeley.com/documents/?uuid=65192432-607d-4b36-a00e-6c3ecdca3c50" ] } ], "mendeley" : { "formattedCitation" : "[26]", "plainTextFormattedCitation" : "[26]", "previouslyFormattedCitation" : "[26]" }, "properties" : { "noteIndex" : 11 }, "schema" : "https://github.com/citation-style-language/schema/raw/master/csl-citation.json" }</w:instrText>
      </w:r>
      <w:r w:rsidR="00C76A7A" w:rsidRPr="003F3B0B">
        <w:fldChar w:fldCharType="separate"/>
      </w:r>
      <w:r w:rsidR="00EF5D3F" w:rsidRPr="003F3B0B">
        <w:rPr>
          <w:noProof/>
        </w:rPr>
        <w:t>[26]</w:t>
      </w:r>
      <w:r w:rsidR="00C76A7A" w:rsidRPr="003F3B0B">
        <w:fldChar w:fldCharType="end"/>
      </w:r>
      <w:r w:rsidRPr="003F3B0B">
        <w:t xml:space="preserve">. This material has the same chemical composition as the riser material; however, the microstructure is different to that of the cold formed pressure armour wire profile. A crossed cylinder specimen configuration was used, </w:t>
      </w:r>
      <w:r w:rsidR="006B7AB9" w:rsidRPr="003F3B0B">
        <w:t xml:space="preserve">as </w:t>
      </w:r>
      <w:r w:rsidRPr="003F3B0B">
        <w:t>shown in</w:t>
      </w:r>
      <w:r w:rsidR="004628F3" w:rsidRPr="003F3B0B">
        <w:t xml:space="preserve"> </w:t>
      </w:r>
      <w:r w:rsidR="001E3AEF" w:rsidRPr="003F3B0B">
        <w:t xml:space="preserve">Figure </w:t>
      </w:r>
      <w:r w:rsidR="001E3AEF" w:rsidRPr="003F3B0B">
        <w:rPr>
          <w:noProof/>
        </w:rPr>
        <w:t>5</w:t>
      </w:r>
      <w:r w:rsidRPr="003F3B0B">
        <w:t xml:space="preserve">. This configuration allows high contact pressure tests to be conducted, representative of nub-groove contact pressures. The specimens were ground </w:t>
      </w:r>
      <w:r w:rsidR="0047069F" w:rsidRPr="003F3B0B">
        <w:t>to</w:t>
      </w:r>
      <w:r w:rsidRPr="003F3B0B">
        <w:t xml:space="preserve"> a roughness (</w:t>
      </w:r>
      <w:r w:rsidRPr="003F3B0B">
        <w:rPr>
          <w:i/>
        </w:rPr>
        <w:t>Ra</w:t>
      </w:r>
      <w:r w:rsidRPr="003F3B0B">
        <w:t xml:space="preserve">) of 0.4 to 0.7 </w:t>
      </w:r>
      <w:r w:rsidRPr="003F3B0B">
        <w:rPr>
          <w:rFonts w:eastAsia="MS Mincho" w:cs="MS Mincho"/>
        </w:rPr>
        <w:sym w:font="Symbol" w:char="F06D"/>
      </w:r>
      <w:r w:rsidRPr="003F3B0B">
        <w:t xml:space="preserve">m. The test methodology employed was based on ASTM standard test methods </w:t>
      </w:r>
      <w:r w:rsidRPr="003F3B0B">
        <w:fldChar w:fldCharType="begin" w:fldLock="1"/>
      </w:r>
      <w:r w:rsidR="00EF5D3F" w:rsidRPr="003F3B0B">
        <w:instrText>ADDIN CSL_CITATION { "citationItems" : [ { "id" : "ITEM-1", "itemData" : { "DOI" : "10.1520/D4170-10", "author" : [ { "dropping-particle" : "", "family" : "ASTM International", "given" : "", "non-dropping-particle" : "", "parse-names" : false, "suffix" : "" } ], "id" : "ITEM-1", "issued" : { "date-parts" : [ [ "2010" ] ] }, "title" : "ASTM D4170-10 Standard test method for fretting wear protection by lubricating greases", "type" : "article-journal" }, "uris" : [ "http://www.mendeley.com/documents/?uuid=314f02b6-3120-3b93-8c65-81db387491ed", "http://www.mendeley.com/documents/?uuid=bbf9fefa-a8d4-4644-8439-a59a9dc934c3" ] }, { "id" : "ITEM-2", "itemData" : { "DOI" : "10.1520/D7594-11", "author" : [ { "dropping-particle" : "", "family" : "ASTM International", "given" : "", "non-dropping-particle" : "", "parse-names" : false, "suffix" : "" } ], "id" : "ITEM-2", "issued" : { "date-parts" : [ [ "2011" ] ] }, "publisher-place" : "West Conshohocken, PA", "title" : "ASTM D7594-11 Standard test method for determining fretting wear resistance of lubricating greases under high Hertzian contact pressure using a high-frequency, linear-oscillation (SVR) test machine", "type" : "article-journal" }, "uris" : [ "http://www.mendeley.com/documents/?uuid=e2bae5b9-0359-3c79-ba64-6bfc572dbe66", "http://www.mendeley.com/documents/?uuid=51f88322-d6e2-4ff3-b2b1-b6f26cd7a386" ] } ], "mendeley" : { "formattedCitation" : "[40,41]", "plainTextFormattedCitation" : "[40,41]", "previouslyFormattedCitation" : "[40,41]" }, "properties" : { "noteIndex" : 0 }, "schema" : "https://github.com/citation-style-language/schema/raw/master/csl-citation.json" }</w:instrText>
      </w:r>
      <w:r w:rsidRPr="003F3B0B">
        <w:fldChar w:fldCharType="separate"/>
      </w:r>
      <w:r w:rsidR="00EF5D3F" w:rsidRPr="003F3B0B">
        <w:rPr>
          <w:noProof/>
        </w:rPr>
        <w:t>[40,41]</w:t>
      </w:r>
      <w:r w:rsidRPr="003F3B0B">
        <w:fldChar w:fldCharType="end"/>
      </w:r>
      <w:r w:rsidRPr="003F3B0B">
        <w:t>.</w:t>
      </w:r>
      <w:r w:rsidR="00723C3C" w:rsidRPr="003F3B0B">
        <w:t xml:space="preserve"> </w:t>
      </w:r>
    </w:p>
    <w:p w14:paraId="1F430FE6" w14:textId="042339FF" w:rsidR="00A07759" w:rsidRPr="003F3B0B" w:rsidRDefault="00A07759" w:rsidP="00A07759">
      <w:r w:rsidRPr="003F3B0B">
        <w:t xml:space="preserve">A dead-weight configuration was used to provide a constant normal load, </w:t>
      </w:r>
      <w:r w:rsidRPr="003F3B0B">
        <w:rPr>
          <w:i/>
        </w:rPr>
        <w:t>P</w:t>
      </w:r>
      <w:r w:rsidRPr="003F3B0B">
        <w:t>, throughout the test. Th</w:t>
      </w:r>
      <w:r w:rsidR="00915C60" w:rsidRPr="003F3B0B">
        <w:t>e</w:t>
      </w:r>
      <w:r w:rsidRPr="003F3B0B">
        <w:t xml:space="preserve"> displacement, </w:t>
      </w:r>
      <w:r w:rsidRPr="003F3B0B">
        <w:rPr>
          <w:i/>
        </w:rPr>
        <w:t>Δ</w:t>
      </w:r>
      <w:r w:rsidRPr="003F3B0B">
        <w:rPr>
          <w:rFonts w:ascii="Cambria Math" w:hAnsi="Cambria Math" w:cs="Cambria Math"/>
        </w:rPr>
        <w:t>*</w:t>
      </w:r>
      <w:r w:rsidRPr="003F3B0B">
        <w:t xml:space="preserve">, </w:t>
      </w:r>
      <w:r w:rsidR="00F045A0" w:rsidRPr="003F3B0B">
        <w:t xml:space="preserve">throughout the test </w:t>
      </w:r>
      <w:r w:rsidRPr="003F3B0B">
        <w:t xml:space="preserve">is also measured </w:t>
      </w:r>
      <w:r w:rsidR="00F045A0" w:rsidRPr="003F3B0B">
        <w:t xml:space="preserve">at a location </w:t>
      </w:r>
      <w:r w:rsidR="00470490" w:rsidRPr="003F3B0B">
        <w:t xml:space="preserve">as </w:t>
      </w:r>
      <w:r w:rsidRPr="003F3B0B">
        <w:t xml:space="preserve">close </w:t>
      </w:r>
      <w:r w:rsidR="00F045A0" w:rsidRPr="003F3B0B">
        <w:t xml:space="preserve">as possible </w:t>
      </w:r>
      <w:r w:rsidRPr="003F3B0B">
        <w:t>to the contact</w:t>
      </w:r>
      <w:r w:rsidR="00470490" w:rsidRPr="003F3B0B">
        <w:t xml:space="preserve"> </w:t>
      </w:r>
      <w:r w:rsidRPr="003F3B0B">
        <w:t xml:space="preserve">using a DVRT. Similarly, the tangential force is measured using a </w:t>
      </w:r>
      <w:r w:rsidRPr="003F3B0B">
        <w:lastRenderedPageBreak/>
        <w:t>piezoelectric force sensor. The load and displacement signals are sampled at a rate of 250 per fretting cycle for all the experiments (i.e. 500 Hz).</w:t>
      </w:r>
    </w:p>
    <w:p w14:paraId="6AC5BB2D" w14:textId="4FB6180B" w:rsidR="00A07759" w:rsidRPr="003F3B0B" w:rsidRDefault="003E54B9" w:rsidP="00A07759">
      <w:r w:rsidRPr="003F3B0B">
        <w:t>R</w:t>
      </w:r>
      <w:r w:rsidR="00A07759" w:rsidRPr="003F3B0B">
        <w:t xml:space="preserve">eal-time visualisation of sensor outputs </w:t>
      </w:r>
      <w:r w:rsidR="0047069F" w:rsidRPr="003F3B0B">
        <w:t>is used to</w:t>
      </w:r>
      <w:r w:rsidR="00A07759" w:rsidRPr="003F3B0B">
        <w:t xml:space="preserve"> </w:t>
      </w:r>
      <w:r w:rsidR="00470490" w:rsidRPr="003F3B0B">
        <w:t>continuous</w:t>
      </w:r>
      <w:r w:rsidR="0047069F" w:rsidRPr="003F3B0B">
        <w:t>ly</w:t>
      </w:r>
      <w:r w:rsidR="00470490" w:rsidRPr="003F3B0B">
        <w:t xml:space="preserve"> </w:t>
      </w:r>
      <w:r w:rsidR="00A07759" w:rsidRPr="003F3B0B">
        <w:t>monitor the fretting contact behaviour. This data is processed to give fretting loop evolution for each test; idealised gross</w:t>
      </w:r>
      <w:r w:rsidR="00C76A7A" w:rsidRPr="003F3B0B">
        <w:t>-</w:t>
      </w:r>
      <w:r w:rsidR="00A07759" w:rsidRPr="003F3B0B">
        <w:t xml:space="preserve">slip </w:t>
      </w:r>
      <w:r w:rsidR="00C76A7A" w:rsidRPr="003F3B0B">
        <w:t xml:space="preserve">and partial-slip </w:t>
      </w:r>
      <w:r w:rsidR="00A07759" w:rsidRPr="003F3B0B">
        <w:t>fretting loop</w:t>
      </w:r>
      <w:r w:rsidR="00C76A7A" w:rsidRPr="003F3B0B">
        <w:t>s</w:t>
      </w:r>
      <w:r w:rsidR="00A07759" w:rsidRPr="003F3B0B">
        <w:t xml:space="preserve"> </w:t>
      </w:r>
      <w:r w:rsidR="00C76A7A" w:rsidRPr="003F3B0B">
        <w:t>are</w:t>
      </w:r>
      <w:r w:rsidR="00A07759" w:rsidRPr="003F3B0B">
        <w:t xml:space="preserve"> shown in</w:t>
      </w:r>
      <w:r w:rsidR="004628F3" w:rsidRPr="003F3B0B">
        <w:t xml:space="preserve"> </w:t>
      </w:r>
      <w:r w:rsidR="004628F3" w:rsidRPr="003F3B0B">
        <w:fldChar w:fldCharType="begin"/>
      </w:r>
      <w:r w:rsidR="004628F3" w:rsidRPr="003F3B0B">
        <w:instrText xml:space="preserve"> REF _Ref11248062 \h </w:instrText>
      </w:r>
      <w:r w:rsidR="004628F3" w:rsidRPr="003F3B0B">
        <w:fldChar w:fldCharType="separate"/>
      </w:r>
      <w:r w:rsidR="003D1AA2" w:rsidRPr="003F3B0B">
        <w:t xml:space="preserve">Figure </w:t>
      </w:r>
      <w:r w:rsidR="003D1AA2" w:rsidRPr="003F3B0B">
        <w:rPr>
          <w:noProof/>
        </w:rPr>
        <w:t>6</w:t>
      </w:r>
      <w:r w:rsidR="004628F3" w:rsidRPr="003F3B0B">
        <w:fldChar w:fldCharType="end"/>
      </w:r>
      <w:r w:rsidR="00A07759" w:rsidRPr="003F3B0B">
        <w:t xml:space="preserve">. The measured displacement amplitude (at the DVRT), </w:t>
      </w:r>
      <w:r w:rsidR="00A07759" w:rsidRPr="003F3B0B">
        <w:rPr>
          <w:i/>
        </w:rPr>
        <w:t>Δ</w:t>
      </w:r>
      <w:r w:rsidR="00A07759" w:rsidRPr="003F3B0B">
        <w:rPr>
          <w:rFonts w:ascii="Cambria Math" w:hAnsi="Cambria Math" w:cs="Cambria Math"/>
        </w:rPr>
        <w:t>*</w:t>
      </w:r>
      <w:r w:rsidR="00A07759" w:rsidRPr="003F3B0B">
        <w:t xml:space="preserve">, is not the same as the contact slip due to elastic deformation of the specimen and rig compliance. Since the fretting contact region is separated from the location of the displacement sensor, the measured displacement amplitude, is always slightly larger than the contact slip amplitude, </w:t>
      </w:r>
      <w:r w:rsidR="00A07759" w:rsidRPr="003F3B0B">
        <w:rPr>
          <w:rFonts w:ascii="Calibri" w:hAnsi="Calibri" w:cs="Calibri"/>
          <w:i/>
        </w:rPr>
        <w:t>δ</w:t>
      </w:r>
      <w:r w:rsidR="00A07759" w:rsidRPr="003F3B0B">
        <w:rPr>
          <w:rFonts w:ascii="Cambria Math" w:hAnsi="Cambria Math" w:cs="Cambria Math"/>
        </w:rPr>
        <w:t xml:space="preserve">*; </w:t>
      </w:r>
      <w:r w:rsidR="00A07759" w:rsidRPr="003F3B0B">
        <w:t>this is due to elastic deformation of the specimen and rig compliance. The contact slip amplitude (</w:t>
      </w:r>
      <w:r w:rsidR="00A07759" w:rsidRPr="003F3B0B">
        <w:rPr>
          <w:rFonts w:ascii="Calibri" w:hAnsi="Calibri" w:cs="Calibri"/>
          <w:i/>
        </w:rPr>
        <w:t>δ</w:t>
      </w:r>
      <w:r w:rsidR="00A07759" w:rsidRPr="003F3B0B">
        <w:rPr>
          <w:rFonts w:ascii="Cambria Math" w:hAnsi="Cambria Math" w:cs="Cambria Math"/>
        </w:rPr>
        <w:t>*</w:t>
      </w:r>
      <w:r w:rsidR="00A07759" w:rsidRPr="003F3B0B">
        <w:t>) can be derived by measuring the displacement at zero force, as illustrated in</w:t>
      </w:r>
      <w:r w:rsidR="004628F3" w:rsidRPr="003F3B0B">
        <w:t xml:space="preserve"> </w:t>
      </w:r>
      <w:r w:rsidR="004628F3" w:rsidRPr="003F3B0B">
        <w:fldChar w:fldCharType="begin"/>
      </w:r>
      <w:r w:rsidR="004628F3" w:rsidRPr="003F3B0B">
        <w:instrText xml:space="preserve"> REF _Ref11248062 \h </w:instrText>
      </w:r>
      <w:r w:rsidR="004628F3" w:rsidRPr="003F3B0B">
        <w:fldChar w:fldCharType="separate"/>
      </w:r>
      <w:r w:rsidR="003D1AA2" w:rsidRPr="003F3B0B">
        <w:t xml:space="preserve">Figure </w:t>
      </w:r>
      <w:r w:rsidR="003D1AA2" w:rsidRPr="003F3B0B">
        <w:rPr>
          <w:noProof/>
        </w:rPr>
        <w:t>6</w:t>
      </w:r>
      <w:r w:rsidR="004628F3" w:rsidRPr="003F3B0B">
        <w:fldChar w:fldCharType="end"/>
      </w:r>
      <w:r w:rsidR="00A07759" w:rsidRPr="003F3B0B">
        <w:t xml:space="preserve">. </w:t>
      </w:r>
    </w:p>
    <w:p w14:paraId="3EAA9845" w14:textId="38F8DF47" w:rsidR="003E54B9" w:rsidRPr="003F3B0B" w:rsidRDefault="003E54B9" w:rsidP="003E54B9">
      <w:r w:rsidRPr="003F3B0B">
        <w:t>Traditionally, the coefficient of friction (</w:t>
      </w:r>
      <w:proofErr w:type="spellStart"/>
      <w:r w:rsidRPr="003F3B0B">
        <w:t>CoF</w:t>
      </w:r>
      <w:proofErr w:type="spellEnd"/>
      <w:r w:rsidRPr="003F3B0B">
        <w:t>) used by researchers was based on the Coulomb-</w:t>
      </w:r>
      <w:proofErr w:type="spellStart"/>
      <w:r w:rsidRPr="003F3B0B">
        <w:t>Amontons</w:t>
      </w:r>
      <w:proofErr w:type="spellEnd"/>
      <w:r w:rsidRPr="003F3B0B">
        <w:t xml:space="preserve">’ friction law. This method is applicable for an idealised experimental fretting loop, as indicated in </w:t>
      </w:r>
      <w:r w:rsidR="001E3AEF" w:rsidRPr="003F3B0B">
        <w:t xml:space="preserve">Figure </w:t>
      </w:r>
      <w:r w:rsidR="001E3AEF" w:rsidRPr="003F3B0B">
        <w:rPr>
          <w:noProof/>
        </w:rPr>
        <w:t>6</w:t>
      </w:r>
      <w:r w:rsidRPr="003F3B0B">
        <w:t>(</w:t>
      </w:r>
      <w:r w:rsidR="001E3AEF" w:rsidRPr="003F3B0B">
        <w:t>b</w:t>
      </w:r>
      <w:r w:rsidRPr="003F3B0B">
        <w:t xml:space="preserve">), with </w:t>
      </w:r>
      <w:proofErr w:type="spellStart"/>
      <w:r w:rsidRPr="003F3B0B">
        <w:t>CoF</w:t>
      </w:r>
      <w:proofErr w:type="spellEnd"/>
      <w:r w:rsidRPr="003F3B0B">
        <w:t xml:space="preserve"> given by:</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8472"/>
        <w:gridCol w:w="708"/>
      </w:tblGrid>
      <w:tr w:rsidR="003F3B0B" w:rsidRPr="003F3B0B" w14:paraId="53ED37A8" w14:textId="77777777" w:rsidTr="00327B40">
        <w:tc>
          <w:tcPr>
            <w:tcW w:w="8472" w:type="dxa"/>
            <w:tcBorders>
              <w:top w:val="nil"/>
              <w:left w:val="nil"/>
              <w:bottom w:val="nil"/>
              <w:right w:val="nil"/>
            </w:tcBorders>
            <w:vAlign w:val="center"/>
          </w:tcPr>
          <w:p w14:paraId="31A070B3" w14:textId="4A7713E8" w:rsidR="003E54B9" w:rsidRPr="003F3B0B" w:rsidRDefault="00C47C78" w:rsidP="003E54B9">
            <w:pPr>
              <w:jc w:val="center"/>
            </w:pPr>
            <w:r w:rsidRPr="003F3B0B">
              <w:rPr>
                <w:noProof/>
                <w:position w:val="-24"/>
                <w:lang w:eastAsia="en-IE"/>
              </w:rPr>
              <w:drawing>
                <wp:inline distT="0" distB="0" distL="0" distR="0" wp14:anchorId="47C1F97D" wp14:editId="3001A72C">
                  <wp:extent cx="704850" cy="390525"/>
                  <wp:effectExtent l="0" t="0" r="0" b="9525"/>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4850" cy="390525"/>
                          </a:xfrm>
                          <a:prstGeom prst="rect">
                            <a:avLst/>
                          </a:prstGeom>
                          <a:noFill/>
                          <a:ln>
                            <a:noFill/>
                          </a:ln>
                        </pic:spPr>
                      </pic:pic>
                    </a:graphicData>
                  </a:graphic>
                </wp:inline>
              </w:drawing>
            </w:r>
          </w:p>
        </w:tc>
        <w:tc>
          <w:tcPr>
            <w:tcW w:w="708" w:type="dxa"/>
            <w:tcBorders>
              <w:top w:val="nil"/>
              <w:left w:val="nil"/>
              <w:bottom w:val="nil"/>
              <w:right w:val="nil"/>
            </w:tcBorders>
            <w:vAlign w:val="center"/>
          </w:tcPr>
          <w:p w14:paraId="73105080" w14:textId="77777777" w:rsidR="003E54B9" w:rsidRPr="003F3B0B" w:rsidRDefault="003E54B9" w:rsidP="003E54B9">
            <w:pPr>
              <w:jc w:val="right"/>
            </w:pPr>
            <w:r w:rsidRPr="003F3B0B">
              <w:t>(</w:t>
            </w:r>
            <w:fldSimple w:instr=" SEQ 7. \* ARABIC ">
              <w:r w:rsidR="003D1AA2" w:rsidRPr="003F3B0B">
                <w:rPr>
                  <w:noProof/>
                </w:rPr>
                <w:t>4</w:t>
              </w:r>
            </w:fldSimple>
            <w:r w:rsidRPr="003F3B0B">
              <w:t>)</w:t>
            </w:r>
          </w:p>
        </w:tc>
      </w:tr>
    </w:tbl>
    <w:p w14:paraId="4E7D1D4B" w14:textId="77777777" w:rsidR="003E54B9" w:rsidRPr="003F3B0B" w:rsidRDefault="003E54B9" w:rsidP="003E54B9">
      <w:proofErr w:type="gramStart"/>
      <w:r w:rsidRPr="003F3B0B">
        <w:t>where</w:t>
      </w:r>
      <w:proofErr w:type="gramEnd"/>
      <w:r w:rsidRPr="003F3B0B">
        <w:t xml:space="preserve"> </w:t>
      </w:r>
      <w:r w:rsidRPr="003F3B0B">
        <w:rPr>
          <w:i/>
        </w:rPr>
        <w:t>Q</w:t>
      </w:r>
      <w:r w:rsidRPr="003F3B0B">
        <w:t xml:space="preserve">* is the measured tangential (frictional) force during sliding and </w:t>
      </w:r>
      <w:r w:rsidRPr="003F3B0B">
        <w:rPr>
          <w:i/>
        </w:rPr>
        <w:t>P</w:t>
      </w:r>
      <w:r w:rsidRPr="003F3B0B">
        <w:t xml:space="preserve"> is the applied normal load.</w:t>
      </w:r>
    </w:p>
    <w:p w14:paraId="30D9AA5A" w14:textId="289CDFA1" w:rsidR="003E54B9" w:rsidRPr="003F3B0B" w:rsidRDefault="003E54B9" w:rsidP="003E54B9">
      <w:proofErr w:type="spellStart"/>
      <w:r w:rsidRPr="003F3B0B">
        <w:t>Fouvry</w:t>
      </w:r>
      <w:proofErr w:type="spellEnd"/>
      <w:r w:rsidRPr="003F3B0B">
        <w:t xml:space="preserve"> et al. </w:t>
      </w:r>
      <w:r w:rsidRPr="003F3B0B">
        <w:fldChar w:fldCharType="begin" w:fldLock="1"/>
      </w:r>
      <w:r w:rsidR="00EF5D3F" w:rsidRPr="003F3B0B">
        <w:instrText>ADDIN CSL_CITATION { "citationItems" : [ { "id" : "ITEM-1", "itemData" : { "DOI" : "10.1016/j.wear.2004.05.011", "ISBN" : "0043-1648", "ISSN" : "00431648", "abstract" : "The fretting behaviour of a Ti-6Al-4V alloy was studied in a plain cylinder/plane contact configuration under ambient conditions. Inspired by a fretting map approach, a global quantitative methodology is introduced. The transition from partial to gross slip condition was defined through an energy discontinuity analysis. Dominated by adhesion phenomena, the friction coefficient behaviour at the sliding transition is formalized through pressure dependence formulations. The crack nucleation risk under stabilized partial slip condition is expressed through a closed form applying the Crossland's high cycle multiaxial fatigue criterion. Comparison with experiments concludes that the size effect must be considered. An averaged stress approach, based on the identification of an intrinsic representative damage volume, was developed and confirmed by comparing various loading conditions. Integrating both debris formation and debris ejection mechanisms, an energy wear approach is adapted to formalize the fretting wear response under gross slip conditions. Extending the classical Archard's formalism by considering the friction coefficient and sliding amplitude impacts, this wear energy model displays a very good stability through a wide range of pressure, sliding amplitude and test duration conditions. It is finally discussed how the introduction of a restricted number of \"constitutive fretting damage variables\" can be transposed in FEM codes to model more complex industrial contacts. \u00a9 2004 Published by Elsevier B.V.", "author" : [ { "dropping-particle" : "", "family" : "Fouvry", "given" : "S.", "non-dropping-particle" : "", "parse-names" : false, "suffix" : "" }, { "dropping-particle" : "", "family" : "Du\u00f3", "given" : "P.", "non-dropping-particle" : "", "parse-names" : false, "suffix" : "" }, { "dropping-particle" : "", "family" : "Perruchaut", "given" : "Ph", "non-dropping-particle" : "", "parse-names" : false, "suffix" : "" } ], "container-title" : "Wear", "id" : "ITEM-1", "issue" : "9-10", "issued" : { "date-parts" : [ [ "2004", "11" ] ] }, "page" : "916-929", "title" : "A quantitative approach of Ti-6Al-4V fretting damage: Friction, wear and crack nucleation", "type" : "article-journal", "volume" : "257" }, "uris" : [ "http://www.mendeley.com/documents/?uuid=6a1c53ca-fdca-4b67-b3d5-f9128bf5c102" ] } ], "mendeley" : { "formattedCitation" : "[42]", "plainTextFormattedCitation" : "[42]", "previouslyFormattedCitation" : "[42]" }, "properties" : { "noteIndex" : 13 }, "schema" : "https://github.com/citation-style-language/schema/raw/master/csl-citation.json" }</w:instrText>
      </w:r>
      <w:r w:rsidRPr="003F3B0B">
        <w:fldChar w:fldCharType="separate"/>
      </w:r>
      <w:r w:rsidR="00EF5D3F" w:rsidRPr="003F3B0B">
        <w:rPr>
          <w:noProof/>
        </w:rPr>
        <w:t>[42]</w:t>
      </w:r>
      <w:r w:rsidRPr="003F3B0B">
        <w:fldChar w:fldCharType="end"/>
      </w:r>
      <w:r w:rsidRPr="003F3B0B">
        <w:t xml:space="preserve"> observed that the tangential force does not remain constant through the sliding part of the fretting loop, as illustrated in </w:t>
      </w:r>
      <w:r w:rsidR="001E3AEF" w:rsidRPr="003F3B0B">
        <w:t xml:space="preserve">Figure </w:t>
      </w:r>
      <w:r w:rsidR="001E3AEF" w:rsidRPr="003F3B0B">
        <w:rPr>
          <w:noProof/>
        </w:rPr>
        <w:t>6</w:t>
      </w:r>
      <w:r w:rsidRPr="003F3B0B">
        <w:t>(</w:t>
      </w:r>
      <w:r w:rsidR="001E3AEF" w:rsidRPr="003F3B0B">
        <w:t>c</w:t>
      </w:r>
      <w:r w:rsidRPr="003F3B0B">
        <w:t xml:space="preserve">). It was suggested </w:t>
      </w:r>
      <w:r w:rsidRPr="003F3B0B">
        <w:fldChar w:fldCharType="begin" w:fldLock="1"/>
      </w:r>
      <w:r w:rsidR="00EF5D3F" w:rsidRPr="003F3B0B">
        <w:instrText>ADDIN CSL_CITATION { "citationItems" : [ { "id" : "ITEM-1", "itemData" : { "DOI" : "10.1016/j.wear.2004.05.011", "ISBN" : "0043-1648", "ISSN" : "00431648", "abstract" : "The fretting behaviour of a Ti-6Al-4V alloy was studied in a plain cylinder/plane contact configuration under ambient conditions. Inspired by a fretting map approach, a global quantitative methodology is introduced. The transition from partial to gross slip condition was defined through an energy discontinuity analysis. Dominated by adhesion phenomena, the friction coefficient behaviour at the sliding transition is formalized through pressure dependence formulations. The crack nucleation risk under stabilized partial slip condition is expressed through a closed form applying the Crossland's high cycle multiaxial fatigue criterion. Comparison with experiments concludes that the size effect must be considered. An averaged stress approach, based on the identification of an intrinsic representative damage volume, was developed and confirmed by comparing various loading conditions. Integrating both debris formation and debris ejection mechanisms, an energy wear approach is adapted to formalize the fretting wear response under gross slip conditions. Extending the classical Archard's formalism by considering the friction coefficient and sliding amplitude impacts, this wear energy model displays a very good stability through a wide range of pressure, sliding amplitude and test duration conditions. It is finally discussed how the introduction of a restricted number of \"constitutive fretting damage variables\" can be transposed in FEM codes to model more complex industrial contacts. \u00a9 2004 Published by Elsevier B.V.", "author" : [ { "dropping-particle" : "", "family" : "Fouvry", "given" : "S.", "non-dropping-particle" : "", "parse-names" : false, "suffix" : "" }, { "dropping-particle" : "", "family" : "Du\u00f3", "given" : "P.", "non-dropping-particle" : "", "parse-names" : false, "suffix" : "" }, { "dropping-particle" : "", "family" : "Perruchaut", "given" : "Ph", "non-dropping-particle" : "", "parse-names" : false, "suffix" : "" } ], "container-title" : "Wear", "id" : "ITEM-1", "issue" : "9-10", "issued" : { "date-parts" : [ [ "2004", "11" ] ] }, "page" : "916-929", "title" : "A quantitative approach of Ti-6Al-4V fretting damage: Friction, wear and crack nucleation", "type" : "article-journal", "volume" : "257" }, "uris" : [ "http://www.mendeley.com/documents/?uuid=6a1c53ca-fdca-4b67-b3d5-f9128bf5c102", "http://www.mendeley.com/documents/?uuid=b4a3b49d-a30a-469f-9cb8-3c0754b7a11d" ] } ], "mendeley" : { "formattedCitation" : "[42]", "plainTextFormattedCitation" : "[42]", "previouslyFormattedCitation" : "[42]" }, "properties" : { "noteIndex" : 0 }, "schema" : "https://github.com/citation-style-language/schema/raw/master/csl-citation.json" }</w:instrText>
      </w:r>
      <w:r w:rsidRPr="003F3B0B">
        <w:fldChar w:fldCharType="separate"/>
      </w:r>
      <w:r w:rsidR="00EF5D3F" w:rsidRPr="003F3B0B">
        <w:rPr>
          <w:noProof/>
        </w:rPr>
        <w:t>[42]</w:t>
      </w:r>
      <w:r w:rsidRPr="003F3B0B">
        <w:fldChar w:fldCharType="end"/>
      </w:r>
      <w:r w:rsidRPr="003F3B0B">
        <w:t xml:space="preserve"> that the peaks at the end of each sliding section of the fretting loops are caused by ploughing</w:t>
      </w:r>
      <w:r w:rsidR="00F045A0" w:rsidRPr="003F3B0B">
        <w:t>,</w:t>
      </w:r>
      <w:r w:rsidRPr="003F3B0B">
        <w:t xml:space="preserve"> which occurs during fretting when material build-up occurs at the wear scar edges. To minimise the influence of the ploughing effect on </w:t>
      </w:r>
      <w:r w:rsidRPr="003F3B0B">
        <w:rPr>
          <w:noProof/>
        </w:rPr>
        <w:t>calculation</w:t>
      </w:r>
      <w:r w:rsidRPr="003F3B0B">
        <w:t xml:space="preserve"> of </w:t>
      </w:r>
      <w:proofErr w:type="spellStart"/>
      <w:r w:rsidRPr="003F3B0B">
        <w:t>CoF</w:t>
      </w:r>
      <w:proofErr w:type="spellEnd"/>
      <w:r w:rsidRPr="003F3B0B">
        <w:t xml:space="preserve">, </w:t>
      </w:r>
      <w:proofErr w:type="spellStart"/>
      <w:r w:rsidRPr="003F3B0B">
        <w:t>Fouvry</w:t>
      </w:r>
      <w:proofErr w:type="spellEnd"/>
      <w:r w:rsidRPr="003F3B0B">
        <w:t xml:space="preserve"> et al. </w:t>
      </w:r>
      <w:r w:rsidRPr="003F3B0B">
        <w:fldChar w:fldCharType="begin" w:fldLock="1"/>
      </w:r>
      <w:r w:rsidR="00EF5D3F" w:rsidRPr="003F3B0B">
        <w:instrText>ADDIN CSL_CITATION { "citationItems" : [ { "id" : "ITEM-1", "itemData" : { "DOI" : "10.1016/j.wear.2004.05.011", "ISBN" : "0043-1648", "ISSN" : "00431648", "abstract" : "The fretting behaviour of a Ti-6Al-4V alloy was studied in a plain cylinder/plane contact configuration under ambient conditions. Inspired by a fretting map approach, a global quantitative methodology is introduced. The transition from partial to gross slip condition was defined through an energy discontinuity analysis. Dominated by adhesion phenomena, the friction coefficient behaviour at the sliding transition is formalized through pressure dependence formulations. The crack nucleation risk under stabilized partial slip condition is expressed through a closed form applying the Crossland's high cycle multiaxial fatigue criterion. Comparison with experiments concludes that the size effect must be considered. An averaged stress approach, based on the identification of an intrinsic representative damage volume, was developed and confirmed by comparing various loading conditions. Integrating both debris formation and debris ejection mechanisms, an energy wear approach is adapted to formalize the fretting wear response under gross slip conditions. Extending the classical Archard's formalism by considering the friction coefficient and sliding amplitude impacts, this wear energy model displays a very good stability through a wide range of pressure, sliding amplitude and test duration conditions. It is finally discussed how the introduction of a restricted number of \"constitutive fretting damage variables\" can be transposed in FEM codes to model more complex industrial contacts. \u00a9 2004 Published by Elsevier B.V.", "author" : [ { "dropping-particle" : "", "family" : "Fouvry", "given" : "S.", "non-dropping-particle" : "", "parse-names" : false, "suffix" : "" }, { "dropping-particle" : "", "family" : "Du\u00f3", "given" : "P.", "non-dropping-particle" : "", "parse-names" : false, "suffix" : "" }, { "dropping-particle" : "", "family" : "Perruchaut", "given" : "Ph", "non-dropping-particle" : "", "parse-names" : false, "suffix" : "" } ], "container-title" : "Wear", "id" : "ITEM-1", "issue" : "9-10", "issued" : { "date-parts" : [ [ "2004", "11" ] ] }, "page" : "916-929", "title" : "A quantitative approach of Ti-6Al-4V fretting damage: Friction, wear and crack nucleation", "type" : "article-journal", "volume" : "257" }, "uris" : [ "http://www.mendeley.com/documents/?uuid=6a1c53ca-fdca-4b67-b3d5-f9128bf5c102" ] } ], "mendeley" : { "formattedCitation" : "[42]", "plainTextFormattedCitation" : "[42]", "previouslyFormattedCitation" : "[42]" }, "properties" : { "noteIndex" : 13 }, "schema" : "https://github.com/citation-style-language/schema/raw/master/csl-citation.json" }</w:instrText>
      </w:r>
      <w:r w:rsidRPr="003F3B0B">
        <w:fldChar w:fldCharType="separate"/>
      </w:r>
      <w:r w:rsidR="00EF5D3F" w:rsidRPr="003F3B0B">
        <w:rPr>
          <w:noProof/>
        </w:rPr>
        <w:t>[42]</w:t>
      </w:r>
      <w:r w:rsidRPr="003F3B0B">
        <w:fldChar w:fldCharType="end"/>
      </w:r>
      <w:r w:rsidRPr="003F3B0B">
        <w:t xml:space="preserve"> proposed that the energy dissipated per cycle could be used to define a coefficient of friction which is more </w:t>
      </w:r>
      <w:r w:rsidRPr="003F3B0B">
        <w:lastRenderedPageBreak/>
        <w:t>representative of the overall behaviour of the contact. The energy coefficient of friction (</w:t>
      </w:r>
      <w:proofErr w:type="spellStart"/>
      <w:r w:rsidRPr="003F3B0B">
        <w:t>ECoF</w:t>
      </w:r>
      <w:proofErr w:type="spellEnd"/>
      <w:r w:rsidRPr="003F3B0B">
        <w:t xml:space="preserve">) </w:t>
      </w:r>
      <w:r w:rsidRPr="003F3B0B">
        <w:fldChar w:fldCharType="begin" w:fldLock="1"/>
      </w:r>
      <w:r w:rsidR="00EF5D3F" w:rsidRPr="003F3B0B">
        <w:instrText>ADDIN CSL_CITATION { "citationItems" : [ { "id" : "ITEM-1", "itemData" : { "DOI" : "10.1016/j.wear.2004.05.011", "ISBN" : "0043-1648", "ISSN" : "00431648", "abstract" : "The fretting behaviour of a Ti-6Al-4V alloy was studied in a plain cylinder/plane contact configuration under ambient conditions. Inspired by a fretting map approach, a global quantitative methodology is introduced. The transition from partial to gross slip condition was defined through an energy discontinuity analysis. Dominated by adhesion phenomena, the friction coefficient behaviour at the sliding transition is formalized through pressure dependence formulations. The crack nucleation risk under stabilized partial slip condition is expressed through a closed form applying the Crossland's high cycle multiaxial fatigue criterion. Comparison with experiments concludes that the size effect must be considered. An averaged stress approach, based on the identification of an intrinsic representative damage volume, was developed and confirmed by comparing various loading conditions. Integrating both debris formation and debris ejection mechanisms, an energy wear approach is adapted to formalize the fretting wear response under gross slip conditions. Extending the classical Archard's formalism by considering the friction coefficient and sliding amplitude impacts, this wear energy model displays a very good stability through a wide range of pressure, sliding amplitude and test duration conditions. It is finally discussed how the introduction of a restricted number of \"constitutive fretting damage variables\" can be transposed in FEM codes to model more complex industrial contacts. \u00a9 2004 Published by Elsevier B.V.", "author" : [ { "dropping-particle" : "", "family" : "Fouvry", "given" : "S.", "non-dropping-particle" : "", "parse-names" : false, "suffix" : "" }, { "dropping-particle" : "", "family" : "Du\u00f3", "given" : "P.", "non-dropping-particle" : "", "parse-names" : false, "suffix" : "" }, { "dropping-particle" : "", "family" : "Perruchaut", "given" : "Ph", "non-dropping-particle" : "", "parse-names" : false, "suffix" : "" } ], "container-title" : "Wear", "id" : "ITEM-1", "issue" : "9-10", "issued" : { "date-parts" : [ [ "2004", "11" ] ] }, "page" : "916-929", "title" : "A quantitative approach of Ti-6Al-4V fretting damage: Friction, wear and crack nucleation", "type" : "article-journal", "volume" : "257" }, "uris" : [ "http://www.mendeley.com/documents/?uuid=6a1c53ca-fdca-4b67-b3d5-f9128bf5c102", "http://www.mendeley.com/documents/?uuid=b4a3b49d-a30a-469f-9cb8-3c0754b7a11d" ] } ], "mendeley" : { "formattedCitation" : "[42]", "plainTextFormattedCitation" : "[42]", "previouslyFormattedCitation" : "[42]" }, "properties" : { "noteIndex" : 0 }, "schema" : "https://github.com/citation-style-language/schema/raw/master/csl-citation.json" }</w:instrText>
      </w:r>
      <w:r w:rsidRPr="003F3B0B">
        <w:fldChar w:fldCharType="separate"/>
      </w:r>
      <w:r w:rsidR="00EF5D3F" w:rsidRPr="003F3B0B">
        <w:rPr>
          <w:noProof/>
        </w:rPr>
        <w:t>[42]</w:t>
      </w:r>
      <w:r w:rsidRPr="003F3B0B">
        <w:fldChar w:fldCharType="end"/>
      </w:r>
      <w:r w:rsidRPr="003F3B0B">
        <w:t xml:space="preserve"> is defined as follows:</w:t>
      </w:r>
    </w:p>
    <w:tbl>
      <w:tblPr>
        <w:tblStyle w:val="TableGrid"/>
        <w:tblW w:w="9322" w:type="dxa"/>
        <w:tblLook w:val="04A0" w:firstRow="1" w:lastRow="0" w:firstColumn="1" w:lastColumn="0" w:noHBand="0" w:noVBand="1"/>
      </w:tblPr>
      <w:tblGrid>
        <w:gridCol w:w="8755"/>
        <w:gridCol w:w="567"/>
      </w:tblGrid>
      <w:tr w:rsidR="003F3B0B" w:rsidRPr="003F3B0B" w14:paraId="0D7777D0" w14:textId="77777777" w:rsidTr="00327B40">
        <w:tc>
          <w:tcPr>
            <w:tcW w:w="8755" w:type="dxa"/>
            <w:tcBorders>
              <w:top w:val="nil"/>
              <w:left w:val="nil"/>
              <w:bottom w:val="nil"/>
              <w:right w:val="nil"/>
            </w:tcBorders>
          </w:tcPr>
          <w:p w14:paraId="29690BF3" w14:textId="54B8A5A0" w:rsidR="003E54B9" w:rsidRPr="003F3B0B" w:rsidRDefault="00C47C78" w:rsidP="003E54B9">
            <w:pPr>
              <w:jc w:val="center"/>
            </w:pPr>
            <w:r w:rsidRPr="003F3B0B">
              <w:rPr>
                <w:noProof/>
                <w:position w:val="-24"/>
                <w:lang w:eastAsia="en-IE"/>
              </w:rPr>
              <w:drawing>
                <wp:inline distT="0" distB="0" distL="0" distR="0" wp14:anchorId="0915D8CA" wp14:editId="078A0398">
                  <wp:extent cx="981075" cy="361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1075" cy="361950"/>
                          </a:xfrm>
                          <a:prstGeom prst="rect">
                            <a:avLst/>
                          </a:prstGeom>
                          <a:noFill/>
                          <a:ln>
                            <a:noFill/>
                          </a:ln>
                        </pic:spPr>
                      </pic:pic>
                    </a:graphicData>
                  </a:graphic>
                </wp:inline>
              </w:drawing>
            </w:r>
          </w:p>
        </w:tc>
        <w:tc>
          <w:tcPr>
            <w:tcW w:w="567" w:type="dxa"/>
            <w:tcBorders>
              <w:top w:val="nil"/>
              <w:left w:val="nil"/>
              <w:bottom w:val="nil"/>
              <w:right w:val="nil"/>
            </w:tcBorders>
            <w:vAlign w:val="center"/>
          </w:tcPr>
          <w:p w14:paraId="3DFC272B" w14:textId="77777777" w:rsidR="003E54B9" w:rsidRPr="003F3B0B" w:rsidRDefault="003E54B9" w:rsidP="003E54B9">
            <w:pPr>
              <w:jc w:val="right"/>
            </w:pPr>
            <w:r w:rsidRPr="003F3B0B">
              <w:t>(</w:t>
            </w:r>
            <w:fldSimple w:instr=" SEQ 7. \* ARABIC ">
              <w:r w:rsidR="003D1AA2" w:rsidRPr="003F3B0B">
                <w:rPr>
                  <w:noProof/>
                </w:rPr>
                <w:t>5</w:t>
              </w:r>
            </w:fldSimple>
            <w:r w:rsidRPr="003F3B0B">
              <w:t>)</w:t>
            </w:r>
          </w:p>
        </w:tc>
      </w:tr>
    </w:tbl>
    <w:p w14:paraId="3B3C1C36" w14:textId="0BBFFD12" w:rsidR="003E54B9" w:rsidRPr="003F3B0B" w:rsidRDefault="003E54B9" w:rsidP="003E54B9">
      <w:r w:rsidRPr="003F3B0B">
        <w:t xml:space="preserve">where </w:t>
      </w:r>
      <w:r w:rsidRPr="003F3B0B">
        <w:rPr>
          <w:i/>
        </w:rPr>
        <w:t>E</w:t>
      </w:r>
      <w:r w:rsidRPr="003F3B0B">
        <w:rPr>
          <w:vertAlign w:val="subscript"/>
        </w:rPr>
        <w:t>d</w:t>
      </w:r>
      <w:r w:rsidRPr="003F3B0B">
        <w:t xml:space="preserve"> is the dissipated energy per cycle (area of the fretting loop, see </w:t>
      </w:r>
      <w:r w:rsidR="001E3AEF" w:rsidRPr="003F3B0B">
        <w:t xml:space="preserve">Figure </w:t>
      </w:r>
      <w:r w:rsidR="001E3AEF" w:rsidRPr="003F3B0B">
        <w:rPr>
          <w:noProof/>
        </w:rPr>
        <w:t>6</w:t>
      </w:r>
      <w:r w:rsidRPr="003F3B0B">
        <w:t xml:space="preserve"> (</w:t>
      </w:r>
      <w:r w:rsidR="001E3AEF" w:rsidRPr="003F3B0B">
        <w:t>c</w:t>
      </w:r>
      <w:r w:rsidRPr="003F3B0B">
        <w:t xml:space="preserve">)) and </w:t>
      </w:r>
      <w:r w:rsidR="00C47C78" w:rsidRPr="003F3B0B">
        <w:rPr>
          <w:noProof/>
          <w:position w:val="-6"/>
          <w:lang w:eastAsia="en-IE"/>
        </w:rPr>
        <w:drawing>
          <wp:inline distT="0" distB="0" distL="0" distR="0" wp14:anchorId="11500C46" wp14:editId="47D59A7B">
            <wp:extent cx="314325" cy="171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325" cy="171450"/>
                    </a:xfrm>
                    <a:prstGeom prst="rect">
                      <a:avLst/>
                    </a:prstGeom>
                    <a:noFill/>
                    <a:ln>
                      <a:noFill/>
                    </a:ln>
                  </pic:spPr>
                </pic:pic>
              </a:graphicData>
            </a:graphic>
          </wp:inline>
        </w:drawing>
      </w:r>
      <w:r w:rsidRPr="003F3B0B">
        <w:t xml:space="preserve"> is the total sliding distance per cycle </w:t>
      </w:r>
      <w:r w:rsidRPr="003F3B0B">
        <w:fldChar w:fldCharType="begin" w:fldLock="1"/>
      </w:r>
      <w:r w:rsidR="00EF5D3F" w:rsidRPr="003F3B0B">
        <w:instrText>ADDIN CSL_CITATION { "citationItems" : [ { "id" : "ITEM-1", "itemData" : { "DOI" : "10.1016/j.wear.2004.05.011", "ISBN" : "0043-1648", "ISSN" : "00431648", "abstract" : "The fretting behaviour of a Ti-6Al-4V alloy was studied in a plain cylinder/plane contact configuration under ambient conditions. Inspired by a fretting map approach, a global quantitative methodology is introduced. The transition from partial to gross slip condition was defined through an energy discontinuity analysis. Dominated by adhesion phenomena, the friction coefficient behaviour at the sliding transition is formalized through pressure dependence formulations. The crack nucleation risk under stabilized partial slip condition is expressed through a closed form applying the Crossland's high cycle multiaxial fatigue criterion. Comparison with experiments concludes that the size effect must be considered. An averaged stress approach, based on the identification of an intrinsic representative damage volume, was developed and confirmed by comparing various loading conditions. Integrating both debris formation and debris ejection mechanisms, an energy wear approach is adapted to formalize the fretting wear response under gross slip conditions. Extending the classical Archard's formalism by considering the friction coefficient and sliding amplitude impacts, this wear energy model displays a very good stability through a wide range of pressure, sliding amplitude and test duration conditions. It is finally discussed how the introduction of a restricted number of \"constitutive fretting damage variables\" can be transposed in FEM codes to model more complex industrial contacts. \u00a9 2004 Published by Elsevier B.V.", "author" : [ { "dropping-particle" : "", "family" : "Fouvry", "given" : "S.", "non-dropping-particle" : "", "parse-names" : false, "suffix" : "" }, { "dropping-particle" : "", "family" : "Du\u00f3", "given" : "P.", "non-dropping-particle" : "", "parse-names" : false, "suffix" : "" }, { "dropping-particle" : "", "family" : "Perruchaut", "given" : "Ph", "non-dropping-particle" : "", "parse-names" : false, "suffix" : "" } ], "container-title" : "Wear", "id" : "ITEM-1", "issue" : "9-10", "issued" : { "date-parts" : [ [ "2004", "11" ] ] }, "page" : "916-929", "title" : "A quantitative approach of Ti-6Al-4V fretting damage: Friction, wear and crack nucleation", "type" : "article-journal", "volume" : "257" }, "uris" : [ "http://www.mendeley.com/documents/?uuid=6a1c53ca-fdca-4b67-b3d5-f9128bf5c102", "http://www.mendeley.com/documents/?uuid=b4a3b49d-a30a-469f-9cb8-3c0754b7a11d" ] } ], "mendeley" : { "formattedCitation" : "[42]", "plainTextFormattedCitation" : "[42]", "previouslyFormattedCitation" : "[42]" }, "properties" : { "noteIndex" : 0 }, "schema" : "https://github.com/citation-style-language/schema/raw/master/csl-citation.json" }</w:instrText>
      </w:r>
      <w:r w:rsidRPr="003F3B0B">
        <w:fldChar w:fldCharType="separate"/>
      </w:r>
      <w:r w:rsidR="00EF5D3F" w:rsidRPr="003F3B0B">
        <w:rPr>
          <w:noProof/>
        </w:rPr>
        <w:t>[42]</w:t>
      </w:r>
      <w:r w:rsidRPr="003F3B0B">
        <w:fldChar w:fldCharType="end"/>
      </w:r>
      <w:r w:rsidRPr="003F3B0B">
        <w:t xml:space="preserve">. The maximum contact slip, </w:t>
      </w:r>
      <w:r w:rsidRPr="003F3B0B">
        <w:rPr>
          <w:rFonts w:cs="Times New Roman"/>
          <w:i/>
        </w:rPr>
        <w:t>δ</w:t>
      </w:r>
      <w:r w:rsidRPr="003F3B0B">
        <w:t>*, can be derived by measuring the displacement at zero force, as illustrated in</w:t>
      </w:r>
      <w:r w:rsidR="008A1F1D" w:rsidRPr="003F3B0B">
        <w:t xml:space="preserve"> Figure </w:t>
      </w:r>
      <w:r w:rsidR="008A1F1D" w:rsidRPr="003F3B0B">
        <w:rPr>
          <w:noProof/>
        </w:rPr>
        <w:t>6</w:t>
      </w:r>
      <w:r w:rsidRPr="003F3B0B">
        <w:t>.</w:t>
      </w:r>
      <w:r w:rsidR="00E431E9" w:rsidRPr="003F3B0B">
        <w:t xml:space="preserve"> For partial slip, </w:t>
      </w:r>
      <w:proofErr w:type="spellStart"/>
      <w:r w:rsidR="00E431E9" w:rsidRPr="003F3B0B">
        <w:t>tractional</w:t>
      </w:r>
      <w:proofErr w:type="spellEnd"/>
      <w:r w:rsidR="00E431E9" w:rsidRPr="003F3B0B">
        <w:t xml:space="preserve"> coefficient is used, which is given by </w:t>
      </w:r>
      <w:proofErr w:type="spellStart"/>
      <w:r w:rsidR="00E431E9" w:rsidRPr="003F3B0B">
        <w:rPr>
          <w:i/>
        </w:rPr>
        <w:t>ECoF</w:t>
      </w:r>
      <w:proofErr w:type="spellEnd"/>
      <w:r w:rsidR="00E431E9" w:rsidRPr="003F3B0B">
        <w:t xml:space="preserve"> for a PS fretting loop shown </w:t>
      </w:r>
      <w:proofErr w:type="gramStart"/>
      <w:r w:rsidR="00E431E9" w:rsidRPr="003F3B0B">
        <w:t>in  Figure</w:t>
      </w:r>
      <w:proofErr w:type="gramEnd"/>
      <w:r w:rsidR="00E431E9" w:rsidRPr="003F3B0B">
        <w:t xml:space="preserve"> </w:t>
      </w:r>
      <w:r w:rsidR="00E431E9" w:rsidRPr="003F3B0B">
        <w:rPr>
          <w:noProof/>
        </w:rPr>
        <w:t>6</w:t>
      </w:r>
      <w:r w:rsidR="00E431E9" w:rsidRPr="003F3B0B">
        <w:t>(a).</w:t>
      </w:r>
    </w:p>
    <w:p w14:paraId="0C131F8F" w14:textId="181EAAD7" w:rsidR="00A07759" w:rsidRPr="003F3B0B" w:rsidRDefault="00A07759" w:rsidP="00A07759">
      <w:r w:rsidRPr="003F3B0B">
        <w:t xml:space="preserve">Experiments were conducted for a range of normal loads, </w:t>
      </w:r>
      <w:r w:rsidRPr="003F3B0B">
        <w:rPr>
          <w:i/>
        </w:rPr>
        <w:t>P</w:t>
      </w:r>
      <w:r w:rsidRPr="003F3B0B">
        <w:t xml:space="preserve">. A summary of the fretting </w:t>
      </w:r>
      <w:r w:rsidR="00F045A0" w:rsidRPr="003F3B0B">
        <w:t xml:space="preserve">test </w:t>
      </w:r>
      <w:r w:rsidRPr="003F3B0B">
        <w:t>parameters is provided in</w:t>
      </w:r>
      <w:r w:rsidR="007776B9" w:rsidRPr="003F3B0B">
        <w:t xml:space="preserve"> </w:t>
      </w:r>
      <w:r w:rsidR="007776B9" w:rsidRPr="003F3B0B">
        <w:fldChar w:fldCharType="begin"/>
      </w:r>
      <w:r w:rsidR="007776B9" w:rsidRPr="003F3B0B">
        <w:instrText xml:space="preserve"> REF _Ref11321221 \h  \* MERGEFORMAT </w:instrText>
      </w:r>
      <w:r w:rsidR="007776B9" w:rsidRPr="003F3B0B">
        <w:fldChar w:fldCharType="separate"/>
      </w:r>
      <w:r w:rsidR="003D1AA2" w:rsidRPr="003F3B0B">
        <w:t xml:space="preserve">Table </w:t>
      </w:r>
      <w:r w:rsidR="003D1AA2" w:rsidRPr="003F3B0B">
        <w:rPr>
          <w:noProof/>
        </w:rPr>
        <w:t>4</w:t>
      </w:r>
      <w:r w:rsidR="007776B9" w:rsidRPr="003F3B0B">
        <w:fldChar w:fldCharType="end"/>
      </w:r>
      <w:r w:rsidRPr="003F3B0B">
        <w:t xml:space="preserve">. Tests were conducted at ambient temperature (typically ~20 </w:t>
      </w:r>
      <w:r w:rsidRPr="003F3B0B">
        <w:rPr>
          <w:rFonts w:ascii="Calibri" w:hAnsi="Calibri"/>
        </w:rPr>
        <w:t>⁰</w:t>
      </w:r>
      <w:r w:rsidRPr="003F3B0B">
        <w:t>C), at a frequency of 2 Hz for a duration of 300,000 cycles. Using</w:t>
      </w:r>
      <w:r w:rsidRPr="003F3B0B">
        <w:rPr>
          <w:noProof/>
        </w:rPr>
        <w:t xml:space="preserve"> Young’s</w:t>
      </w:r>
      <w:r w:rsidRPr="003F3B0B">
        <w:t xml:space="preserve"> modulus of 189 </w:t>
      </w:r>
      <w:r w:rsidRPr="003F3B0B">
        <w:rPr>
          <w:noProof/>
        </w:rPr>
        <w:t>GPa</w:t>
      </w:r>
      <w:r w:rsidRPr="003F3B0B">
        <w:t xml:space="preserve"> and a Poisson’s ratio of 0.33 for this steel</w:t>
      </w:r>
      <w:r w:rsidRPr="003F3B0B">
        <w:rPr>
          <w:rFonts w:eastAsia="Times New Roman"/>
          <w:spacing w:val="7"/>
          <w:sz w:val="20"/>
          <w:szCs w:val="20"/>
        </w:rPr>
        <w:t xml:space="preserve">, </w:t>
      </w:r>
      <w:proofErr w:type="spellStart"/>
      <w:r w:rsidRPr="003F3B0B">
        <w:t>Hertzian</w:t>
      </w:r>
      <w:proofErr w:type="spellEnd"/>
      <w:r w:rsidRPr="003F3B0B">
        <w:t xml:space="preserve"> contact mechanics </w:t>
      </w:r>
      <w:r w:rsidRPr="003F3B0B">
        <w:fldChar w:fldCharType="begin" w:fldLock="1"/>
      </w:r>
      <w:r w:rsidR="00EF5D3F" w:rsidRPr="003F3B0B">
        <w:instrText>ADDIN CSL_CITATION { "citationItems" : [ { "id" : "ITEM-1", "itemData" : { "DOI" : "10.1515/crll.1882.92.156", "ISBN" : "0075-4102", "ISSN" : "14355345", "abstract" : "Measurement theory developed for a laboratory investigation of electromagnetic characteristics of conductive and magnetic rocks agreed with experiments performed on synthetic conductive samples using a multifrequency coil-bridge system in the 10 kHz to 4 MHz range. The theoretical analysis also provides a basic and useful method for the study of inductive [electro-magnetic (EM)] conductivity and magnetic susceptibility spectra from conductive and/or magnetic samples. The skin effect, an important consequence of eddy current behavior, affects EM measurements and can be recognized by varying the energizing frequency. Investigations of the EM responses of 104 synthetic cores, of five types, revealed that textural effects, i.e., the structure, arrangement, and particle size of the conducting elements exerted a large influence on results. These analog cores contained a range of conductors, including copper wires, graphite powder, aluminum particles, and magnetite-ilmenite grains, set in a matrix of insulating plaster or wax, representing models of layered, stringer, disseminated, network, massive, and magnetite-rich mineralizations. For a heterogeneous sample, the laboratory-measured EM conductivity depends strongly on the structure and orientation of the conducting materials and usually differs from the galvanic conductivity. For a sample with insulated conducting particles, the measured EM conductivity decreases with the increasing square of the sample diameter. This indicates that EM field methods may not respond well to disseminated targets with dispersed conducting minerals even at high concentrations. A mechanism attributed to magnetic loss produced unrealistically high apparent conductivities for magnetite-bearing samples, especially at low frequencies (f&lt;100 kHz). For a conductive magnetite sample (sigma &gt;1 S/m), the effect of magnetic loss can be eliminated at high frequencies (f&gt;400 kHz), and the ohmic conductivity of the magnetite sample can then be estimated.", "author" : [ { "dropping-particle" : "", "family" : "Hertz", "given" : "Heinrich", "non-dropping-particle" : "", "parse-names" : false, "suffix" : "" } ], "container-title" : "Journal fur die Reine und Angewandte Mathematik", "genre" : "Journal Article", "id" : "ITEM-1", "issue" : "92", "issued" : { "date-parts" : [ [ "1882" ] ] }, "page" : "156-171", "title" : "\u00dcber die Ber\u00fchrung fester elastischer K\u00f6rper", "type" : "article-journal", "volume" : "1882" }, "uris" : [ "http://www.mendeley.com/documents/?uuid=6f439bed-f6c0-43ec-a9c8-edad3c2152ed", "http://www.mendeley.com/documents/?uuid=cb2a9a44-b8a1-42d8-8101-5a280a930f45" ] } ], "mendeley" : { "formattedCitation" : "[43]", "plainTextFormattedCitation" : "[43]", "previouslyFormattedCitation" : "[43]" }, "properties" : { "noteIndex" : 0 }, "schema" : "https://github.com/citation-style-language/schema/raw/master/csl-citation.json" }</w:instrText>
      </w:r>
      <w:r w:rsidRPr="003F3B0B">
        <w:fldChar w:fldCharType="separate"/>
      </w:r>
      <w:r w:rsidR="00EF5D3F" w:rsidRPr="003F3B0B">
        <w:rPr>
          <w:noProof/>
        </w:rPr>
        <w:t>[43]</w:t>
      </w:r>
      <w:r w:rsidRPr="003F3B0B">
        <w:fldChar w:fldCharType="end"/>
      </w:r>
      <w:r w:rsidRPr="003F3B0B">
        <w:t xml:space="preserve"> </w:t>
      </w:r>
      <w:r w:rsidRPr="003F3B0B">
        <w:rPr>
          <w:noProof/>
        </w:rPr>
        <w:t xml:space="preserve">for </w:t>
      </w:r>
      <w:r w:rsidR="00F045A0" w:rsidRPr="003F3B0B">
        <w:rPr>
          <w:noProof/>
        </w:rPr>
        <w:t xml:space="preserve">a </w:t>
      </w:r>
      <w:r w:rsidRPr="003F3B0B">
        <w:rPr>
          <w:noProof/>
        </w:rPr>
        <w:t>crossed</w:t>
      </w:r>
      <w:r w:rsidR="00F045A0" w:rsidRPr="003F3B0B">
        <w:rPr>
          <w:noProof/>
        </w:rPr>
        <w:t>-</w:t>
      </w:r>
      <w:r w:rsidRPr="003F3B0B">
        <w:rPr>
          <w:noProof/>
        </w:rPr>
        <w:t>cylinder contact</w:t>
      </w:r>
      <w:r w:rsidRPr="003F3B0B">
        <w:t xml:space="preserve"> </w:t>
      </w:r>
      <w:r w:rsidR="00F045A0" w:rsidRPr="003F3B0B">
        <w:t>was</w:t>
      </w:r>
      <w:r w:rsidRPr="003F3B0B">
        <w:t xml:space="preserve"> used to </w:t>
      </w:r>
      <w:r w:rsidR="00F045A0" w:rsidRPr="003F3B0B">
        <w:t>determine</w:t>
      </w:r>
      <w:r w:rsidRPr="003F3B0B">
        <w:t xml:space="preserve"> the initial contact semi-width, </w:t>
      </w:r>
      <w:r w:rsidRPr="003F3B0B">
        <w:rPr>
          <w:i/>
        </w:rPr>
        <w:t>a</w:t>
      </w:r>
      <w:r w:rsidRPr="003F3B0B">
        <w:t xml:space="preserve">, and initial maximum contact pressure, </w:t>
      </w:r>
      <w:r w:rsidRPr="003F3B0B">
        <w:rPr>
          <w:i/>
          <w:noProof/>
        </w:rPr>
        <w:t>p</w:t>
      </w:r>
      <w:r w:rsidRPr="003F3B0B">
        <w:rPr>
          <w:rFonts w:eastAsia="Verdana"/>
          <w:noProof/>
          <w:vertAlign w:val="subscript"/>
        </w:rPr>
        <w:t>o</w:t>
      </w:r>
      <w:r w:rsidRPr="003F3B0B">
        <w:rPr>
          <w:vertAlign w:val="subscript"/>
        </w:rPr>
        <w:t xml:space="preserve">. </w:t>
      </w:r>
      <w:r w:rsidRPr="003F3B0B">
        <w:t xml:space="preserve">The values of </w:t>
      </w:r>
      <w:proofErr w:type="gramStart"/>
      <w:r w:rsidRPr="003F3B0B">
        <w:rPr>
          <w:i/>
        </w:rPr>
        <w:t>a</w:t>
      </w:r>
      <w:r w:rsidRPr="003F3B0B">
        <w:t xml:space="preserve"> and</w:t>
      </w:r>
      <w:proofErr w:type="gramEnd"/>
      <w:r w:rsidRPr="003F3B0B">
        <w:t xml:space="preserve"> </w:t>
      </w:r>
      <w:r w:rsidRPr="003F3B0B">
        <w:rPr>
          <w:i/>
          <w:noProof/>
        </w:rPr>
        <w:t>p</w:t>
      </w:r>
      <w:r w:rsidRPr="003F3B0B">
        <w:rPr>
          <w:rFonts w:eastAsia="Verdana"/>
          <w:noProof/>
          <w:vertAlign w:val="subscript"/>
        </w:rPr>
        <w:t>o</w:t>
      </w:r>
      <w:r w:rsidRPr="003F3B0B">
        <w:rPr>
          <w:rFonts w:eastAsia="Verdana"/>
          <w:i/>
        </w:rPr>
        <w:t xml:space="preserve"> </w:t>
      </w:r>
      <w:r w:rsidRPr="003F3B0B">
        <w:t xml:space="preserve">are </w:t>
      </w:r>
      <w:r w:rsidR="00F045A0" w:rsidRPr="003F3B0B">
        <w:t xml:space="preserve">also </w:t>
      </w:r>
      <w:r w:rsidRPr="003F3B0B">
        <w:t xml:space="preserve">presented in </w:t>
      </w:r>
      <w:r w:rsidR="007776B9" w:rsidRPr="003F3B0B">
        <w:fldChar w:fldCharType="begin"/>
      </w:r>
      <w:r w:rsidR="007776B9" w:rsidRPr="003F3B0B">
        <w:instrText xml:space="preserve"> REF _Ref11321221 \h  \* MERGEFORMAT </w:instrText>
      </w:r>
      <w:r w:rsidR="007776B9" w:rsidRPr="003F3B0B">
        <w:fldChar w:fldCharType="separate"/>
      </w:r>
      <w:r w:rsidR="003D1AA2" w:rsidRPr="003F3B0B">
        <w:t xml:space="preserve">Table </w:t>
      </w:r>
      <w:r w:rsidR="003D1AA2" w:rsidRPr="003F3B0B">
        <w:rPr>
          <w:noProof/>
        </w:rPr>
        <w:t>4</w:t>
      </w:r>
      <w:r w:rsidR="007776B9" w:rsidRPr="003F3B0B">
        <w:fldChar w:fldCharType="end"/>
      </w:r>
      <w:r w:rsidRPr="003F3B0B">
        <w:t>. Contact semi-width ranges from 8</w:t>
      </w:r>
      <w:r w:rsidR="00654D4B" w:rsidRPr="003F3B0B">
        <w:t>0</w:t>
      </w:r>
      <w:r w:rsidRPr="003F3B0B">
        <w:t xml:space="preserve"> </w:t>
      </w:r>
      <w:proofErr w:type="spellStart"/>
      <w:r w:rsidRPr="003F3B0B">
        <w:rPr>
          <w:rFonts w:cs="Times New Roman"/>
        </w:rPr>
        <w:t>μ</w:t>
      </w:r>
      <w:r w:rsidRPr="003F3B0B">
        <w:t>m</w:t>
      </w:r>
      <w:proofErr w:type="spellEnd"/>
      <w:r w:rsidRPr="003F3B0B">
        <w:t xml:space="preserve"> to 157 </w:t>
      </w:r>
      <w:proofErr w:type="spellStart"/>
      <w:r w:rsidRPr="003F3B0B">
        <w:rPr>
          <w:rFonts w:cs="Times New Roman"/>
        </w:rPr>
        <w:t>μ</w:t>
      </w:r>
      <w:r w:rsidRPr="003F3B0B">
        <w:t>m</w:t>
      </w:r>
      <w:proofErr w:type="spellEnd"/>
      <w:r w:rsidRPr="003F3B0B">
        <w:t xml:space="preserve"> and maximum contact pressure ranges from 89</w:t>
      </w:r>
      <w:r w:rsidR="00F045A0" w:rsidRPr="003F3B0B">
        <w:t>0 MPa to 1730</w:t>
      </w:r>
      <w:r w:rsidRPr="003F3B0B">
        <w:t xml:space="preserve"> MPa. </w:t>
      </w:r>
    </w:p>
    <w:p w14:paraId="34FDFD92" w14:textId="77777777" w:rsidR="00340718" w:rsidRPr="003F3B0B" w:rsidRDefault="007E7D57" w:rsidP="00340718">
      <w:r w:rsidRPr="003F3B0B">
        <w:fldChar w:fldCharType="begin"/>
      </w:r>
      <w:r w:rsidRPr="003F3B0B">
        <w:instrText xml:space="preserve"> REF _Ref11248161 \h </w:instrText>
      </w:r>
      <w:r w:rsidRPr="003F3B0B">
        <w:fldChar w:fldCharType="separate"/>
      </w:r>
      <w:r w:rsidR="003D1AA2" w:rsidRPr="003F3B0B">
        <w:t xml:space="preserve">Figure </w:t>
      </w:r>
      <w:r w:rsidR="003D1AA2" w:rsidRPr="003F3B0B">
        <w:rPr>
          <w:noProof/>
        </w:rPr>
        <w:t>7</w:t>
      </w:r>
      <w:r w:rsidRPr="003F3B0B">
        <w:fldChar w:fldCharType="end"/>
      </w:r>
      <w:r w:rsidR="00A07759" w:rsidRPr="003F3B0B">
        <w:t xml:space="preserve"> presents the measured evolution of </w:t>
      </w:r>
      <w:r w:rsidR="003E54B9" w:rsidRPr="003F3B0B">
        <w:t xml:space="preserve">the traction coefficient </w:t>
      </w:r>
      <w:r w:rsidR="00A07759" w:rsidRPr="003F3B0B">
        <w:t xml:space="preserve">with </w:t>
      </w:r>
      <w:r w:rsidR="00A07759" w:rsidRPr="003F3B0B">
        <w:rPr>
          <w:noProof/>
        </w:rPr>
        <w:t>number</w:t>
      </w:r>
      <w:r w:rsidR="00A07759" w:rsidRPr="003F3B0B">
        <w:t xml:space="preserve"> of fretting cycles for crossed-cylinders </w:t>
      </w:r>
      <w:r w:rsidR="00352248" w:rsidRPr="003F3B0B">
        <w:t>under different</w:t>
      </w:r>
      <w:r w:rsidR="00A07759" w:rsidRPr="003F3B0B">
        <w:t xml:space="preserve"> normal loads. </w:t>
      </w:r>
      <w:r w:rsidR="00352248" w:rsidRPr="003F3B0B">
        <w:t>The d</w:t>
      </w:r>
      <w:r w:rsidR="00A07759" w:rsidRPr="003F3B0B">
        <w:t xml:space="preserve">evelopment of </w:t>
      </w:r>
      <w:proofErr w:type="spellStart"/>
      <w:r w:rsidR="00A07759" w:rsidRPr="003F3B0B">
        <w:t>ECoF</w:t>
      </w:r>
      <w:proofErr w:type="spellEnd"/>
      <w:r w:rsidR="00A07759" w:rsidRPr="003F3B0B">
        <w:t xml:space="preserve"> for gross slip fretting is presented in </w:t>
      </w:r>
      <w:r w:rsidRPr="003F3B0B">
        <w:fldChar w:fldCharType="begin"/>
      </w:r>
      <w:r w:rsidRPr="003F3B0B">
        <w:instrText xml:space="preserve"> REF _Ref11248161 \h </w:instrText>
      </w:r>
      <w:r w:rsidRPr="003F3B0B">
        <w:fldChar w:fldCharType="separate"/>
      </w:r>
      <w:r w:rsidR="003D1AA2" w:rsidRPr="003F3B0B">
        <w:t xml:space="preserve">Figure </w:t>
      </w:r>
      <w:r w:rsidR="003D1AA2" w:rsidRPr="003F3B0B">
        <w:rPr>
          <w:noProof/>
        </w:rPr>
        <w:t>7</w:t>
      </w:r>
      <w:r w:rsidRPr="003F3B0B">
        <w:fldChar w:fldCharType="end"/>
      </w:r>
      <w:r w:rsidR="00A07759" w:rsidRPr="003F3B0B">
        <w:t xml:space="preserve">(a); the stabilised ECOF values range from 0.59 to 0.65 in GS. </w:t>
      </w:r>
      <w:r w:rsidR="00352248" w:rsidRPr="003F3B0B">
        <w:t>H</w:t>
      </w:r>
      <w:r w:rsidR="00A07759" w:rsidRPr="003F3B0B">
        <w:t>igher normal loads</w:t>
      </w:r>
      <w:r w:rsidR="00352248" w:rsidRPr="003F3B0B">
        <w:t xml:space="preserve"> give</w:t>
      </w:r>
      <w:r w:rsidR="00A07759" w:rsidRPr="003F3B0B">
        <w:t xml:space="preserve"> </w:t>
      </w:r>
      <w:r w:rsidR="00352248" w:rsidRPr="003F3B0B">
        <w:t xml:space="preserve">lower </w:t>
      </w:r>
      <w:proofErr w:type="spellStart"/>
      <w:r w:rsidR="00A07759" w:rsidRPr="003F3B0B">
        <w:t>ECoF</w:t>
      </w:r>
      <w:proofErr w:type="spellEnd"/>
      <w:r w:rsidR="00A07759" w:rsidRPr="003F3B0B">
        <w:t xml:space="preserve"> value</w:t>
      </w:r>
      <w:r w:rsidR="00352248" w:rsidRPr="003F3B0B">
        <w:t>s</w:t>
      </w:r>
      <w:r w:rsidR="00A07759" w:rsidRPr="003F3B0B">
        <w:t xml:space="preserve">, resulting in partial slip conditions. </w:t>
      </w:r>
      <w:r w:rsidR="00352248" w:rsidRPr="003F3B0B">
        <w:t>The d</w:t>
      </w:r>
      <w:r w:rsidR="00A07759" w:rsidRPr="003F3B0B">
        <w:t>evel</w:t>
      </w:r>
      <w:r w:rsidR="003E54B9" w:rsidRPr="003F3B0B">
        <w:t>opment of traction coefficient</w:t>
      </w:r>
      <w:r w:rsidR="00A07759" w:rsidRPr="003F3B0B">
        <w:t xml:space="preserve"> for partial slip fretting is presented in </w:t>
      </w:r>
      <w:r w:rsidRPr="003F3B0B">
        <w:fldChar w:fldCharType="begin"/>
      </w:r>
      <w:r w:rsidRPr="003F3B0B">
        <w:instrText xml:space="preserve"> REF _Ref11248161 \h </w:instrText>
      </w:r>
      <w:r w:rsidR="00066129" w:rsidRPr="003F3B0B">
        <w:instrText xml:space="preserve"> \* MERGEFORMAT </w:instrText>
      </w:r>
      <w:r w:rsidRPr="003F3B0B">
        <w:fldChar w:fldCharType="separate"/>
      </w:r>
      <w:r w:rsidR="003D1AA2" w:rsidRPr="003F3B0B">
        <w:t xml:space="preserve">Figure </w:t>
      </w:r>
      <w:r w:rsidR="003D1AA2" w:rsidRPr="003F3B0B">
        <w:rPr>
          <w:noProof/>
        </w:rPr>
        <w:t>7</w:t>
      </w:r>
      <w:r w:rsidRPr="003F3B0B">
        <w:fldChar w:fldCharType="end"/>
      </w:r>
      <w:r w:rsidR="00A07759" w:rsidRPr="003F3B0B">
        <w:t xml:space="preserve">(b). The </w:t>
      </w:r>
      <w:r w:rsidR="003E54B9" w:rsidRPr="003F3B0B">
        <w:t xml:space="preserve">traction coefficient </w:t>
      </w:r>
      <w:r w:rsidR="00A07759" w:rsidRPr="003F3B0B">
        <w:t xml:space="preserve">for a </w:t>
      </w:r>
      <w:r w:rsidR="00A07759" w:rsidRPr="003F3B0B">
        <w:rPr>
          <w:noProof/>
        </w:rPr>
        <w:t>normal</w:t>
      </w:r>
      <w:r w:rsidR="00A07759" w:rsidRPr="003F3B0B">
        <w:t xml:space="preserve"> load of 43 N (contact pressure ~ 1350 MPa)</w:t>
      </w:r>
      <w:r w:rsidR="00352248" w:rsidRPr="003F3B0B">
        <w:t xml:space="preserve"> shows a step down from about 0.5</w:t>
      </w:r>
      <w:r w:rsidR="003A5FCE" w:rsidRPr="003F3B0B">
        <w:t>2 to about 0.42</w:t>
      </w:r>
      <w:r w:rsidR="00352248" w:rsidRPr="003F3B0B">
        <w:t xml:space="preserve"> at about 10</w:t>
      </w:r>
      <w:r w:rsidR="00352248" w:rsidRPr="003F3B0B">
        <w:rPr>
          <w:vertAlign w:val="superscript"/>
        </w:rPr>
        <w:t>3</w:t>
      </w:r>
      <w:r w:rsidR="00352248" w:rsidRPr="003F3B0B">
        <w:t xml:space="preserve"> cycles</w:t>
      </w:r>
      <w:r w:rsidR="00340718" w:rsidRPr="003F3B0B">
        <w:t>.</w:t>
      </w:r>
    </w:p>
    <w:p w14:paraId="6A4DC8C5" w14:textId="3D842D29" w:rsidR="002B2C3E" w:rsidRPr="003F3B0B" w:rsidRDefault="002B2C3E" w:rsidP="00340718">
      <w:r w:rsidRPr="003F3B0B">
        <w:lastRenderedPageBreak/>
        <w:t>The wear volume, V, was calculated as the volume of material removed from the reference surface, as described in</w:t>
      </w:r>
      <w:r w:rsidR="00A76C82" w:rsidRPr="003F3B0B">
        <w:t xml:space="preserve"> </w:t>
      </w:r>
      <w:r w:rsidR="00A76C82" w:rsidRPr="003F3B0B">
        <w:fldChar w:fldCharType="begin" w:fldLock="1"/>
      </w:r>
      <w:r w:rsidR="00EF5D3F" w:rsidRPr="003F3B0B">
        <w:instrText>ADDIN CSL_CITATION { "citationItems" : [ { "id" : "ITEM-1", "itemData" : { "DOI" : "10.1016/j.wear.2013.01.018", "ISSN" : "00431648", "author" : [ { "dropping-particle" : "", "family" : "Warmuth", "given" : "A.R.", "non-dropping-particle" : "", "parse-names" : false, "suffix" : "" }, { "dropping-particle" : "", "family" : "Pearson", "given" : "S.R.", "non-dropping-particle" : "", "parse-names" : false, "suffix" : "" }, { "dropping-particle" : "", "family" : "Shipway", "given" : "P.H.", "non-dropping-particle" : "", "parse-names" : false, "suffix" : "" }, { "dropping-particle" : "", "family" : "Sun", "given" : "W.", "non-dropping-particle" : "", "parse-names" : false, "suffix" : "" } ], "container-title" : "Wear", "id" : "ITEM-1", "issue" : "1-2", "issued" : { "date-parts" : [ [ "2013" ] ] }, "page" : "491-500", "publisher" : "Elsevier", "title" : "The effect of contact geometry on fretting wear rates and mechanisms for a high strengthsteel", "type" : "article-journal", "volume" : "301" }, "uris" : [ "http://www.mendeley.com/documents/?uuid=0a64d14a-9533-4586-9ab2-f27e815e2e9b" ] } ], "mendeley" : { "formattedCitation" : "[44]", "plainTextFormattedCitation" : "[44]", "previouslyFormattedCitation" : "[44]" }, "properties" : { "noteIndex" : 14 }, "schema" : "https://github.com/citation-style-language/schema/raw/master/csl-citation.json" }</w:instrText>
      </w:r>
      <w:r w:rsidR="00A76C82" w:rsidRPr="003F3B0B">
        <w:fldChar w:fldCharType="separate"/>
      </w:r>
      <w:r w:rsidR="00EF5D3F" w:rsidRPr="003F3B0B">
        <w:rPr>
          <w:noProof/>
        </w:rPr>
        <w:t>[44]</w:t>
      </w:r>
      <w:r w:rsidR="00A76C82" w:rsidRPr="003F3B0B">
        <w:fldChar w:fldCharType="end"/>
      </w:r>
      <w:r w:rsidRPr="003F3B0B">
        <w:t xml:space="preserve">. This provided data to calculate the </w:t>
      </w:r>
      <w:proofErr w:type="spellStart"/>
      <w:r w:rsidRPr="003F3B0B">
        <w:t>Archard</w:t>
      </w:r>
      <w:proofErr w:type="spellEnd"/>
      <w:r w:rsidRPr="003F3B0B">
        <w:t xml:space="preserve"> wear coefficient using the equation:</w:t>
      </w:r>
    </w:p>
    <w:tbl>
      <w:tblPr>
        <w:tblStyle w:val="TableGrid"/>
        <w:tblW w:w="9322" w:type="dxa"/>
        <w:tblLook w:val="04A0" w:firstRow="1" w:lastRow="0" w:firstColumn="1" w:lastColumn="0" w:noHBand="0" w:noVBand="1"/>
      </w:tblPr>
      <w:tblGrid>
        <w:gridCol w:w="8755"/>
        <w:gridCol w:w="567"/>
      </w:tblGrid>
      <w:tr w:rsidR="003F3B0B" w:rsidRPr="003F3B0B" w14:paraId="17A1FDF5" w14:textId="77777777" w:rsidTr="000F1845">
        <w:tc>
          <w:tcPr>
            <w:tcW w:w="8755" w:type="dxa"/>
            <w:tcBorders>
              <w:top w:val="nil"/>
              <w:left w:val="nil"/>
              <w:bottom w:val="nil"/>
              <w:right w:val="nil"/>
            </w:tcBorders>
          </w:tcPr>
          <w:p w14:paraId="2C35BEE4" w14:textId="6F11D6CB" w:rsidR="000F1845" w:rsidRPr="003F3B0B" w:rsidRDefault="000F1845" w:rsidP="000F1845">
            <w:pPr>
              <w:jc w:val="center"/>
            </w:pPr>
            <m:oMathPara>
              <m:oMath>
                <m:r>
                  <w:rPr>
                    <w:rFonts w:ascii="Cambria Math" w:hAnsi="Cambria Math"/>
                  </w:rPr>
                  <m:t>k=</m:t>
                </m:r>
                <m:f>
                  <m:fPr>
                    <m:ctrlPr>
                      <w:rPr>
                        <w:rFonts w:ascii="Cambria Math" w:hAnsi="Cambria Math"/>
                        <w:i/>
                      </w:rPr>
                    </m:ctrlPr>
                  </m:fPr>
                  <m:num>
                    <m:r>
                      <w:rPr>
                        <w:rFonts w:ascii="Cambria Math" w:hAnsi="Cambria Math"/>
                      </w:rPr>
                      <m:t>V</m:t>
                    </m:r>
                  </m:num>
                  <m:den>
                    <m:r>
                      <w:rPr>
                        <w:rFonts w:ascii="Cambria Math" w:hAnsi="Cambria Math"/>
                      </w:rPr>
                      <m:t>4NP</m:t>
                    </m:r>
                    <m:sSup>
                      <m:sSupPr>
                        <m:ctrlPr>
                          <w:rPr>
                            <w:rFonts w:ascii="Cambria Math" w:hAnsi="Cambria Math"/>
                            <w:i/>
                          </w:rPr>
                        </m:ctrlPr>
                      </m:sSupPr>
                      <m:e>
                        <m:r>
                          <w:rPr>
                            <w:rFonts w:ascii="Cambria Math" w:hAnsi="Cambria Math"/>
                          </w:rPr>
                          <m:t>δ</m:t>
                        </m:r>
                      </m:e>
                      <m:sup>
                        <m:r>
                          <w:rPr>
                            <w:rFonts w:ascii="Cambria Math" w:hAnsi="Cambria Math"/>
                          </w:rPr>
                          <m:t>*</m:t>
                        </m:r>
                      </m:sup>
                    </m:sSup>
                  </m:den>
                </m:f>
              </m:oMath>
            </m:oMathPara>
          </w:p>
        </w:tc>
        <w:tc>
          <w:tcPr>
            <w:tcW w:w="567" w:type="dxa"/>
            <w:tcBorders>
              <w:top w:val="nil"/>
              <w:left w:val="nil"/>
              <w:bottom w:val="nil"/>
              <w:right w:val="nil"/>
            </w:tcBorders>
            <w:vAlign w:val="center"/>
          </w:tcPr>
          <w:p w14:paraId="24E8F23E" w14:textId="77777777" w:rsidR="000F1845" w:rsidRPr="003F3B0B" w:rsidRDefault="000F1845" w:rsidP="000F1845">
            <w:pPr>
              <w:jc w:val="right"/>
            </w:pPr>
            <w:r w:rsidRPr="003F3B0B">
              <w:t>(</w:t>
            </w:r>
            <w:fldSimple w:instr=" SEQ 7. \* ARABIC ">
              <w:r w:rsidR="003D1AA2" w:rsidRPr="003F3B0B">
                <w:rPr>
                  <w:noProof/>
                </w:rPr>
                <w:t>6</w:t>
              </w:r>
            </w:fldSimple>
            <w:r w:rsidRPr="003F3B0B">
              <w:t>)</w:t>
            </w:r>
          </w:p>
        </w:tc>
      </w:tr>
    </w:tbl>
    <w:p w14:paraId="4038EC25" w14:textId="022164F0" w:rsidR="00623934" w:rsidRPr="003F3B0B" w:rsidRDefault="002B2C3E" w:rsidP="002B2C3E">
      <w:proofErr w:type="gramStart"/>
      <w:r w:rsidRPr="003F3B0B">
        <w:t>where</w:t>
      </w:r>
      <w:proofErr w:type="gramEnd"/>
      <w:r w:rsidRPr="003F3B0B">
        <w:t xml:space="preserve"> </w:t>
      </w:r>
      <w:r w:rsidRPr="003F3B0B">
        <w:rPr>
          <w:i/>
        </w:rPr>
        <w:t>V</w:t>
      </w:r>
      <w:r w:rsidRPr="003F3B0B">
        <w:t xml:space="preserve"> is the wear volume, </w:t>
      </w:r>
      <m:oMath>
        <m:r>
          <w:rPr>
            <w:rFonts w:ascii="Cambria Math" w:hAnsi="Cambria Math"/>
          </w:rPr>
          <m:t>4N</m:t>
        </m:r>
        <m:sSup>
          <m:sSupPr>
            <m:ctrlPr>
              <w:rPr>
                <w:rFonts w:ascii="Cambria Math" w:hAnsi="Cambria Math"/>
                <w:i/>
              </w:rPr>
            </m:ctrlPr>
          </m:sSupPr>
          <m:e>
            <m:r>
              <w:rPr>
                <w:rFonts w:ascii="Cambria Math" w:hAnsi="Cambria Math"/>
              </w:rPr>
              <m:t>δ</m:t>
            </m:r>
          </m:e>
          <m:sup>
            <m:r>
              <w:rPr>
                <w:rFonts w:ascii="Cambria Math" w:hAnsi="Cambria Math"/>
              </w:rPr>
              <m:t>*</m:t>
            </m:r>
          </m:sup>
        </m:sSup>
      </m:oMath>
      <w:r w:rsidRPr="003F3B0B">
        <w:rPr>
          <w:i/>
        </w:rPr>
        <w:t xml:space="preserve"> </w:t>
      </w:r>
      <w:r w:rsidRPr="003F3B0B">
        <w:t>is the</w:t>
      </w:r>
      <w:r w:rsidR="000F1845" w:rsidRPr="003F3B0B">
        <w:t xml:space="preserve"> sliding distance over </w:t>
      </w:r>
      <w:r w:rsidR="000F1845" w:rsidRPr="003F3B0B">
        <w:rPr>
          <w:i/>
        </w:rPr>
        <w:t>N</w:t>
      </w:r>
      <w:r w:rsidR="000F1845" w:rsidRPr="003F3B0B">
        <w:t xml:space="preserve"> cycles</w:t>
      </w:r>
      <w:r w:rsidRPr="003F3B0B">
        <w:t xml:space="preserve">, </w:t>
      </w:r>
      <w:r w:rsidRPr="003F3B0B">
        <w:rPr>
          <w:i/>
        </w:rPr>
        <w:t>k</w:t>
      </w:r>
      <w:r w:rsidRPr="003F3B0B">
        <w:t xml:space="preserve"> is </w:t>
      </w:r>
      <w:proofErr w:type="spellStart"/>
      <w:r w:rsidRPr="003F3B0B">
        <w:t>Archard</w:t>
      </w:r>
      <w:proofErr w:type="spellEnd"/>
      <w:r w:rsidRPr="003F3B0B">
        <w:t xml:space="preserve"> wear coefficient and </w:t>
      </w:r>
      <w:r w:rsidRPr="003F3B0B">
        <w:rPr>
          <w:i/>
        </w:rPr>
        <w:t>P</w:t>
      </w:r>
      <w:r w:rsidRPr="003F3B0B">
        <w:t xml:space="preserve"> is the normal load applied to the specimen. An average wear coefficient was calculated as 1.</w:t>
      </w:r>
      <w:r w:rsidR="008A5E16" w:rsidRPr="003F3B0B">
        <w:t>09</w:t>
      </w:r>
      <w:r w:rsidRPr="003F3B0B">
        <w:t xml:space="preserve"> × 10</w:t>
      </w:r>
      <w:r w:rsidRPr="003F3B0B">
        <w:rPr>
          <w:vertAlign w:val="superscript"/>
        </w:rPr>
        <w:t>-8</w:t>
      </w:r>
      <w:r w:rsidRPr="003F3B0B">
        <w:t xml:space="preserve"> MPa</w:t>
      </w:r>
      <w:r w:rsidRPr="003F3B0B">
        <w:rPr>
          <w:vertAlign w:val="superscript"/>
        </w:rPr>
        <w:t>-1</w:t>
      </w:r>
      <w:r w:rsidRPr="003F3B0B">
        <w:t xml:space="preserve">, with a standard deviation of </w:t>
      </w:r>
      <w:r w:rsidR="008A5E16" w:rsidRPr="003F3B0B">
        <w:t>1</w:t>
      </w:r>
      <w:r w:rsidRPr="003F3B0B">
        <w:t>.</w:t>
      </w:r>
      <w:r w:rsidR="008A5E16" w:rsidRPr="003F3B0B">
        <w:t>4</w:t>
      </w:r>
      <w:r w:rsidRPr="003F3B0B">
        <w:t xml:space="preserve"> × 10</w:t>
      </w:r>
      <w:r w:rsidRPr="003F3B0B">
        <w:rPr>
          <w:vertAlign w:val="superscript"/>
        </w:rPr>
        <w:t>-9</w:t>
      </w:r>
      <w:r w:rsidRPr="003F3B0B">
        <w:t xml:space="preserve"> MPa</w:t>
      </w:r>
      <w:r w:rsidRPr="003F3B0B">
        <w:rPr>
          <w:vertAlign w:val="superscript"/>
        </w:rPr>
        <w:t>-1</w:t>
      </w:r>
      <w:r w:rsidRPr="003F3B0B">
        <w:t xml:space="preserve">, from </w:t>
      </w:r>
      <w:r w:rsidR="000F1845" w:rsidRPr="003F3B0B">
        <w:t xml:space="preserve">the gross slip </w:t>
      </w:r>
      <w:r w:rsidRPr="003F3B0B">
        <w:t>experiments conducted</w:t>
      </w:r>
      <w:r w:rsidR="000F1845" w:rsidRPr="003F3B0B">
        <w:t xml:space="preserve"> here</w:t>
      </w:r>
      <w:r w:rsidRPr="003F3B0B">
        <w:t xml:space="preserve">, with varying </w:t>
      </w:r>
      <w:r w:rsidRPr="003F3B0B">
        <w:rPr>
          <w:i/>
        </w:rPr>
        <w:t>P</w:t>
      </w:r>
      <w:r w:rsidR="000F1845" w:rsidRPr="003F3B0B">
        <w:rPr>
          <w:i/>
        </w:rPr>
        <w:t xml:space="preserve"> and </w:t>
      </w:r>
      <w:r w:rsidR="000F1845" w:rsidRPr="003F3B0B">
        <w:rPr>
          <w:rFonts w:cs="Times New Roman"/>
          <w:i/>
        </w:rPr>
        <w:t>δ</w:t>
      </w:r>
      <w:r w:rsidR="000F1845" w:rsidRPr="003F3B0B">
        <w:rPr>
          <w:i/>
        </w:rPr>
        <w:t>*</w:t>
      </w:r>
      <w:r w:rsidR="000F1845" w:rsidRPr="003F3B0B">
        <w:t>.</w:t>
      </w:r>
      <w:r w:rsidR="008A5E16" w:rsidRPr="003F3B0B">
        <w:t xml:space="preserve"> This is the same </w:t>
      </w:r>
      <w:proofErr w:type="spellStart"/>
      <w:r w:rsidR="008A5E16" w:rsidRPr="003F3B0B">
        <w:t>Archard</w:t>
      </w:r>
      <w:proofErr w:type="spellEnd"/>
      <w:r w:rsidR="008A5E16" w:rsidRPr="003F3B0B">
        <w:t xml:space="preserve"> wear coefficient as previously calculated from cylinder-on-flat experiments using</w:t>
      </w:r>
      <w:r w:rsidR="00D521B7" w:rsidRPr="003F3B0B">
        <w:t xml:space="preserve"> rep</w:t>
      </w:r>
      <w:r w:rsidR="008A5E16" w:rsidRPr="003F3B0B">
        <w:t>resentative pressure armour material that was subsequently used for the development of computational wear models</w:t>
      </w:r>
      <w:r w:rsidR="00A76C82" w:rsidRPr="003F3B0B">
        <w:t xml:space="preserve"> </w:t>
      </w:r>
      <w:r w:rsidR="00A76C82" w:rsidRPr="003F3B0B">
        <w:fldChar w:fldCharType="begin" w:fldLock="1"/>
      </w:r>
      <w:r w:rsidR="00EF5D3F" w:rsidRPr="003F3B0B">
        <w:instrText>ADDIN CSL_CITATION { "citationItems" : [ { "id" : "ITEM-1", "itemData" : { "DOI" : "10.1016/J.TRIBOINT.2016.10.020", "ISSN" : "0301-679X", "abstract" : "This paper presents a combined experimental and computational methodology for fretting wear-fatigue prediction of pressure armour wire in flexible marine risers. Fretting wear, friction and fatigue parameters of pressure armour material have been characterised experimentally. A combined fretting wear-fatigue finite element model has been developed using an adaptive meshing technique and the effect of bending-induced tangential slip has been characterised. It has been shown that a surface damage parameter combined with a multiaxial fatigue parameter can accurately predict the beneficial effect of fretting wear on fatigue predictions. This provides a computationally efficient design tool for fretting in the pressure armour layer of flexible marine risers.", "author" : [ { "dropping-particle" : "", "family" : "O\u2019Halloran", "given" : "S.M.", "non-dropping-particle" : "", "parse-names" : false, "suffix" : "" }, { "dropping-particle" : "", "family" : "Shipway", "given" : "P.H.", "non-dropping-particle" : "", "parse-names" : false, "suffix" : "" }, { "dropping-particle" : "", "family" : "Connaire", "given" : "A.D.", "non-dropping-particle" : "", "parse-names" : false, "suffix" : "" }, { "dropping-particle" : "", "family" : "Leen", "given" : "S.B.", "non-dropping-particle" : "", "parse-names" : false, "suffix" : "" }, { "dropping-particle" : "", "family" : "Harte", "given" : "A.M.", "non-dropping-particle" : "", "parse-names" : false, "suffix" : "" } ], "container-title" : "Tribology International", "id" : "ITEM-1", "issued" : { "date-parts" : [ [ "2017", "4" ] ] }, "page" : "7-15", "publisher" : "Elsevier", "title" : "A combined wear-fatigue design methodology for fretting in the pressure armour layer of flexible marine risers", "type" : "article-journal", "volume" : "108" }, "uris" : [ "http://www.mendeley.com/documents/?uuid=185157f9-3db6-4b4e-b1c3-f959292fae47" ] } ], "mendeley" : { "formattedCitation" : "[23]", "plainTextFormattedCitation" : "[23]", "previouslyFormattedCitation" : "[23]" }, "properties" : { "noteIndex" : 15 }, "schema" : "https://github.com/citation-style-language/schema/raw/master/csl-citation.json" }</w:instrText>
      </w:r>
      <w:r w:rsidR="00A76C82" w:rsidRPr="003F3B0B">
        <w:fldChar w:fldCharType="separate"/>
      </w:r>
      <w:r w:rsidR="00EF5D3F" w:rsidRPr="003F3B0B">
        <w:rPr>
          <w:noProof/>
        </w:rPr>
        <w:t>[23]</w:t>
      </w:r>
      <w:r w:rsidR="00A76C82" w:rsidRPr="003F3B0B">
        <w:fldChar w:fldCharType="end"/>
      </w:r>
      <w:r w:rsidR="008A5E16" w:rsidRPr="003F3B0B">
        <w:t>.</w:t>
      </w:r>
    </w:p>
    <w:p w14:paraId="2157FC91" w14:textId="77777777" w:rsidR="00A07759" w:rsidRPr="003F3B0B" w:rsidRDefault="00A07759" w:rsidP="00A07759"/>
    <w:p w14:paraId="4780FC8D" w14:textId="77777777" w:rsidR="00AE3B0E" w:rsidRPr="003F3B0B" w:rsidRDefault="00AE3B0E" w:rsidP="00AE3B0E">
      <w:pPr>
        <w:pStyle w:val="Heading2"/>
      </w:pPr>
      <w:r w:rsidRPr="003F3B0B">
        <w:t>Finite element analysis of nub-groove contact conditions</w:t>
      </w:r>
    </w:p>
    <w:p w14:paraId="61ADFCFF" w14:textId="2DC5F6AA" w:rsidR="00B44C2E" w:rsidRPr="003F3B0B" w:rsidRDefault="00B44C2E" w:rsidP="00DE6E4B">
      <w:r w:rsidRPr="003F3B0B">
        <w:t xml:space="preserve">Following </w:t>
      </w:r>
      <w:r w:rsidR="00393297" w:rsidRPr="003F3B0B">
        <w:t>global-local</w:t>
      </w:r>
      <w:r w:rsidR="007561D8" w:rsidRPr="003F3B0B">
        <w:t xml:space="preserve"> riser geometric analysis, combined with experimental nub-groove fretting characterisation</w:t>
      </w:r>
      <w:r w:rsidRPr="003F3B0B">
        <w:t xml:space="preserve">, the local nub-groove slip, </w:t>
      </w:r>
      <w:r w:rsidRPr="003F3B0B">
        <w:rPr>
          <w:rFonts w:cs="Times New Roman"/>
          <w:i/>
        </w:rPr>
        <w:t>δ</w:t>
      </w:r>
      <w:r w:rsidRPr="003F3B0B">
        <w:rPr>
          <w:rFonts w:cs="Times New Roman"/>
        </w:rPr>
        <w:t>,</w:t>
      </w:r>
      <w:r w:rsidRPr="003F3B0B">
        <w:t xml:space="preserve"> </w:t>
      </w:r>
      <w:r w:rsidR="00654D4B" w:rsidRPr="003F3B0B">
        <w:t>is</w:t>
      </w:r>
      <w:r w:rsidRPr="003F3B0B">
        <w:t xml:space="preserve"> identified as a function of applied riser displacement, </w:t>
      </w:r>
      <w:proofErr w:type="spellStart"/>
      <w:r w:rsidRPr="003F3B0B">
        <w:rPr>
          <w:rFonts w:cs="Times New Roman"/>
          <w:i/>
        </w:rPr>
        <w:t>Δ</w:t>
      </w:r>
      <w:r w:rsidRPr="003F3B0B">
        <w:rPr>
          <w:vertAlign w:val="subscript"/>
        </w:rPr>
        <w:t>app</w:t>
      </w:r>
      <w:proofErr w:type="spellEnd"/>
      <w:r w:rsidRPr="003F3B0B">
        <w:t>, from the axisymmetric riser model of</w:t>
      </w:r>
      <w:r w:rsidR="00A76C82" w:rsidRPr="003F3B0B">
        <w:t xml:space="preserve"> </w:t>
      </w:r>
      <w:r w:rsidR="00A76C82" w:rsidRPr="003F3B0B">
        <w:fldChar w:fldCharType="begin" w:fldLock="1"/>
      </w:r>
      <w:r w:rsidR="00EF5D3F" w:rsidRPr="003F3B0B">
        <w:instrText>ADDIN CSL_CITATION { "citationItems" : [ { "id" : "ITEM-1", "itemData" : { "DOI" : "10.1016/j.triboint.2016.02.040", "ISSN" : "0301679X", "abstract" : "This paper presents a computational methodology for frictional contact mechanics of the pressure armour layer in flexible risers. This will allow, for the first time, quantification of key fretting variables, such as contact pressure, relative slip and sub-surface stresses in this complex geometry, under representative loading conditions. Fatigue lives are calculated using the 3-dimensional critical plane Smith\u2013Watson\u2013Topper multiaxial fatigue parameter. It is shown that COF has a significant effect on predicted trailing-edge tensile stresses in the pressure armour layer and, hence on fretting crack initiation in risers. It is also shown that operating pressure and bending-induced axial displacement significantly affect predicted crack initiation. These results will facilitate representative fretting wear and fretting fatigue testing of pressure armour layer material.", "author" : [ { "dropping-particle" : "", "family" : "O\u2019Halloran", "given" : "S.M.", "non-dropping-particle" : "", "parse-names" : false, "suffix" : "" }, { "dropping-particle" : "", "family" : "Harte", "given" : "A.M.", "non-dropping-particle" : "", "parse-names" : false, "suffix" : "" }, { "dropping-particle" : "", "family" : "Connaire", "given" : "A.D.", "non-dropping-particle" : "", "parse-names" : false, "suffix" : "" }, { "dropping-particle" : "", "family" : "Leen", "given" : "S.B.", "non-dropping-particle" : "", "parse-names" : false, "suffix" : "" } ], "container-title" : "Tribology International", "id" : "ITEM-1", "issued" : { "date-parts" : [ [ "2016", "3" ] ] }, "page" : "306-316", "title" : "Modelling of fretting in the pressure armour layer of flexible marine risers", "type" : "article-journal", "volume" : "100" }, "uris" : [ "http://www.mendeley.com/documents/?uuid=b80948ad-fca6-4929-8343-b20fd51894bb" ] } ], "mendeley" : { "formattedCitation" : "[22]", "plainTextFormattedCitation" : "[22]", "previouslyFormattedCitation" : "[22]" }, "properties" : { "noteIndex" : 15 }, "schema" : "https://github.com/citation-style-language/schema/raw/master/csl-citation.json" }</w:instrText>
      </w:r>
      <w:r w:rsidR="00A76C82" w:rsidRPr="003F3B0B">
        <w:fldChar w:fldCharType="separate"/>
      </w:r>
      <w:r w:rsidR="00EF5D3F" w:rsidRPr="003F3B0B">
        <w:rPr>
          <w:noProof/>
        </w:rPr>
        <w:t>[22]</w:t>
      </w:r>
      <w:r w:rsidR="00A76C82" w:rsidRPr="003F3B0B">
        <w:fldChar w:fldCharType="end"/>
      </w:r>
      <w:r w:rsidR="00340718" w:rsidRPr="003F3B0B">
        <w:t xml:space="preserve">. </w:t>
      </w:r>
      <w:r w:rsidR="00E74443" w:rsidRPr="003F3B0B">
        <w:t xml:space="preserve">The pressure armour wire of a flexible pipe is helically wound at an angle of approximately </w:t>
      </w:r>
      <w:r w:rsidR="00DE6E4B" w:rsidRPr="003F3B0B">
        <w:t>9</w:t>
      </w:r>
      <w:r w:rsidR="00E74443" w:rsidRPr="003F3B0B">
        <w:t xml:space="preserve">5° </w:t>
      </w:r>
      <w:r w:rsidR="00654D4B" w:rsidRPr="003F3B0B">
        <w:t xml:space="preserve">to </w:t>
      </w:r>
      <w:r w:rsidR="00E74443" w:rsidRPr="003F3B0B">
        <w:t xml:space="preserve">the </w:t>
      </w:r>
      <w:r w:rsidR="00DE6E4B" w:rsidRPr="003F3B0B">
        <w:t xml:space="preserve">longitudinal </w:t>
      </w:r>
      <w:r w:rsidR="00E74443" w:rsidRPr="003F3B0B">
        <w:t xml:space="preserve">direction of the pipe, i.e. approximately circumferential to the pipe. Hence, it </w:t>
      </w:r>
      <w:r w:rsidR="00DE6E4B" w:rsidRPr="003F3B0B">
        <w:t>was</w:t>
      </w:r>
      <w:r w:rsidR="00E74443" w:rsidRPr="003F3B0B">
        <w:t xml:space="preserve"> assumed </w:t>
      </w:r>
      <w:r w:rsidR="00DE6E4B" w:rsidRPr="003F3B0B">
        <w:fldChar w:fldCharType="begin" w:fldLock="1"/>
      </w:r>
      <w:r w:rsidR="00EF5D3F" w:rsidRPr="003F3B0B">
        <w:instrText>ADDIN CSL_CITATION { "citationItems" : [ { "id" : "ITEM-1", "itemData" : { "DOI" : "10.1016/j.triboint.2016.02.040", "ISSN" : "0301679X", "abstract" : "This paper presents a computational methodology for frictional contact mechanics of the pressure armour layer in flexible risers. This will allow, for the first time, quantification of key fretting variables, such as contact pressure, relative slip and sub-surface stresses in this complex geometry, under representative loading conditions. Fatigue lives are calculated using the 3-dimensional critical plane Smith\u2013Watson\u2013Topper multiaxial fatigue parameter. It is shown that COF has a significant effect on predicted trailing-edge tensile stresses in the pressure armour layer and, hence on fretting crack initiation in risers. It is also shown that operating pressure and bending-induced axial displacement significantly affect predicted crack initiation. These results will facilitate representative fretting wear and fretting fatigue testing of pressure armour layer material.", "author" : [ { "dropping-particle" : "", "family" : "O\u2019Halloran", "given" : "S.M.", "non-dropping-particle" : "", "parse-names" : false, "suffix" : "" }, { "dropping-particle" : "", "family" : "Harte", "given" : "A.M.", "non-dropping-particle" : "", "parse-names" : false, "suffix" : "" }, { "dropping-particle" : "", "family" : "Connaire", "given" : "A.D.", "non-dropping-particle" : "", "parse-names" : false, "suffix" : "" }, { "dropping-particle" : "", "family" : "Leen", "given" : "S.B.", "non-dropping-particle" : "", "parse-names" : false, "suffix" : "" } ], "container-title" : "Tribology International", "id" : "ITEM-1", "issued" : { "date-parts" : [ [ "2016", "3" ] ] }, "page" : "306-316", "title" : "Modelling of fretting in the pressure armour layer of flexible marine risers", "type" : "article-journal", "volume" : "100" }, "uris" : [ "http://www.mendeley.com/documents/?uuid=b80948ad-fca6-4929-8343-b20fd51894bb" ] } ], "mendeley" : { "formattedCitation" : "[22]", "plainTextFormattedCitation" : "[22]", "previouslyFormattedCitation" : "[22]" }, "properties" : { "noteIndex" : 15 }, "schema" : "https://github.com/citation-style-language/schema/raw/master/csl-citation.json" }</w:instrText>
      </w:r>
      <w:r w:rsidR="00DE6E4B" w:rsidRPr="003F3B0B">
        <w:fldChar w:fldCharType="separate"/>
      </w:r>
      <w:r w:rsidR="00EF5D3F" w:rsidRPr="003F3B0B">
        <w:rPr>
          <w:noProof/>
        </w:rPr>
        <w:t>[22]</w:t>
      </w:r>
      <w:r w:rsidR="00DE6E4B" w:rsidRPr="003F3B0B">
        <w:fldChar w:fldCharType="end"/>
      </w:r>
      <w:r w:rsidR="00DE6E4B" w:rsidRPr="003F3B0B">
        <w:t xml:space="preserve"> </w:t>
      </w:r>
      <w:r w:rsidR="00E74443" w:rsidRPr="003F3B0B">
        <w:t>that the helix angle of the pressure armour wire can be ignored for the purpose of these simulations, so that the riser can be modelled as axisymmetric. Furthermore, a repeated axial segment of the riser pressure armour wire was modelled to reduce computational time</w:t>
      </w:r>
      <w:r w:rsidR="00DE6E4B" w:rsidRPr="003F3B0B">
        <w:t xml:space="preserve">; this is described in detail in </w:t>
      </w:r>
      <w:r w:rsidR="00DE6E4B" w:rsidRPr="003F3B0B">
        <w:fldChar w:fldCharType="begin" w:fldLock="1"/>
      </w:r>
      <w:r w:rsidR="00EF5D3F" w:rsidRPr="003F3B0B">
        <w:instrText>ADDIN CSL_CITATION { "citationItems" : [ { "id" : "ITEM-1", "itemData" : { "DOI" : "10.1016/j.triboint.2016.02.040", "ISSN" : "0301679X", "abstract" : "This paper presents a computational methodology for frictional contact mechanics of the pressure armour layer in flexible risers. This will allow, for the first time, quantification of key fretting variables, such as contact pressure, relative slip and sub-surface stresses in this complex geometry, under representative loading conditions. Fatigue lives are calculated using the 3-dimensional critical plane Smith\u2013Watson\u2013Topper multiaxial fatigue parameter. It is shown that COF has a significant effect on predicted trailing-edge tensile stresses in the pressure armour layer and, hence on fretting crack initiation in risers. It is also shown that operating pressure and bending-induced axial displacement significantly affect predicted crack initiation. These results will facilitate representative fretting wear and fretting fatigue testing of pressure armour layer material.", "author" : [ { "dropping-particle" : "", "family" : "O\u2019Halloran", "given" : "S.M.", "non-dropping-particle" : "", "parse-names" : false, "suffix" : "" }, { "dropping-particle" : "", "family" : "Harte", "given" : "A.M.", "non-dropping-particle" : "", "parse-names" : false, "suffix" : "" }, { "dropping-particle" : "", "family" : "Connaire", "given" : "A.D.", "non-dropping-particle" : "", "parse-names" : false, "suffix" : "" }, { "dropping-particle" : "", "family" : "Leen", "given" : "S.B.", "non-dropping-particle" : "", "parse-names" : false, "suffix" : "" } ], "container-title" : "Tribology International", "id" : "ITEM-1", "issued" : { "date-parts" : [ [ "2016", "3" ] ] }, "page" : "306-316", "title" : "Modelling of fretting in the pressure armour layer of flexible marine risers", "type" : "article-journal", "volume" : "100" }, "uris" : [ "http://www.mendeley.com/documents/?uuid=b80948ad-fca6-4929-8343-b20fd51894bb" ] } ], "mendeley" : { "formattedCitation" : "[22]", "plainTextFormattedCitation" : "[22]", "previouslyFormattedCitation" : "[22]" }, "properties" : { "noteIndex" : 15 }, "schema" : "https://github.com/citation-style-language/schema/raw/master/csl-citation.json" }</w:instrText>
      </w:r>
      <w:r w:rsidR="00DE6E4B" w:rsidRPr="003F3B0B">
        <w:fldChar w:fldCharType="separate"/>
      </w:r>
      <w:r w:rsidR="00EF5D3F" w:rsidRPr="003F3B0B">
        <w:rPr>
          <w:noProof/>
        </w:rPr>
        <w:t>[22]</w:t>
      </w:r>
      <w:r w:rsidR="00DE6E4B" w:rsidRPr="003F3B0B">
        <w:fldChar w:fldCharType="end"/>
      </w:r>
      <w:r w:rsidR="00E74443" w:rsidRPr="003F3B0B">
        <w:t>.</w:t>
      </w:r>
      <w:r w:rsidR="00DE6E4B" w:rsidRPr="003F3B0B">
        <w:t xml:space="preserve"> The key features of this model are the contact conditions for fretting stick-slip conditions. This is achieved through a combination of the </w:t>
      </w:r>
      <w:r w:rsidR="00E74443" w:rsidRPr="003F3B0B">
        <w:t xml:space="preserve">master-slave </w:t>
      </w:r>
      <w:r w:rsidR="00E74443" w:rsidRPr="003F3B0B">
        <w:lastRenderedPageBreak/>
        <w:t xml:space="preserve">algorithm with finite sliding contact within </w:t>
      </w:r>
      <w:proofErr w:type="spellStart"/>
      <w:r w:rsidR="00E74443" w:rsidRPr="003F3B0B">
        <w:t>Abaqus</w:t>
      </w:r>
      <w:proofErr w:type="spellEnd"/>
      <w:r w:rsidR="00E74443" w:rsidRPr="003F3B0B">
        <w:t xml:space="preserve"> </w:t>
      </w:r>
      <w:r w:rsidR="00DE6E4B" w:rsidRPr="003F3B0B">
        <w:t>and Coulomb friction based on the Lagrange multiplier contact algorithm.</w:t>
      </w:r>
      <w:r w:rsidR="00E74443" w:rsidRPr="003F3B0B">
        <w:t xml:space="preserve"> Further</w:t>
      </w:r>
      <w:r w:rsidRPr="003F3B0B">
        <w:t xml:space="preserve"> model details are outlined in </w:t>
      </w:r>
      <w:r w:rsidR="007561D8" w:rsidRPr="003F3B0B">
        <w:fldChar w:fldCharType="begin" w:fldLock="1"/>
      </w:r>
      <w:r w:rsidR="00EF5D3F" w:rsidRPr="003F3B0B">
        <w:instrText>ADDIN CSL_CITATION { "citationItems" : [ { "id" : "ITEM-1", "itemData" : { "DOI" : "10.1016/j.triboint.2016.02.040", "ISSN" : "0301679X", "abstract" : "This paper presents a computational methodology for frictional contact mechanics of the pressure armour layer in flexible risers. This will allow, for the first time, quantification of key fretting variables, such as contact pressure, relative slip and sub-surface stresses in this complex geometry, under representative loading conditions. Fatigue lives are calculated using the 3-dimensional critical plane Smith\u2013Watson\u2013Topper multiaxial fatigue parameter. It is shown that COF has a significant effect on predicted trailing-edge tensile stresses in the pressure armour layer and, hence on fretting crack initiation in risers. It is also shown that operating pressure and bending-induced axial displacement significantly affect predicted crack initiation. These results will facilitate representative fretting wear and fretting fatigue testing of pressure armour layer material.", "author" : [ { "dropping-particle" : "", "family" : "O\u2019Halloran", "given" : "S.M.", "non-dropping-particle" : "", "parse-names" : false, "suffix" : "" }, { "dropping-particle" : "", "family" : "Harte", "given" : "A.M.", "non-dropping-particle" : "", "parse-names" : false, "suffix" : "" }, { "dropping-particle" : "", "family" : "Connaire", "given" : "A.D.", "non-dropping-particle" : "", "parse-names" : false, "suffix" : "" }, { "dropping-particle" : "", "family" : "Leen", "given" : "S.B.", "non-dropping-particle" : "", "parse-names" : false, "suffix" : "" } ], "container-title" : "Tribology International", "id" : "ITEM-1", "issued" : { "date-parts" : [ [ "2016", "3" ] ] }, "page" : "306-316", "title" : "Modelling of fretting in the pressure armour layer of flexible marine risers", "type" : "article-journal", "volume" : "100" }, "uris" : [ "http://www.mendeley.com/documents/?uuid=b80948ad-fca6-4929-8343-b20fd51894bb" ] } ], "mendeley" : { "formattedCitation" : "[22]", "plainTextFormattedCitation" : "[22]", "previouslyFormattedCitation" : "[22]" }, "properties" : { "noteIndex" : 14 }, "schema" : "https://github.com/citation-style-language/schema/raw/master/csl-citation.json" }</w:instrText>
      </w:r>
      <w:r w:rsidR="007561D8" w:rsidRPr="003F3B0B">
        <w:fldChar w:fldCharType="separate"/>
      </w:r>
      <w:r w:rsidR="00EF5D3F" w:rsidRPr="003F3B0B">
        <w:rPr>
          <w:noProof/>
        </w:rPr>
        <w:t>[22]</w:t>
      </w:r>
      <w:r w:rsidR="007561D8" w:rsidRPr="003F3B0B">
        <w:fldChar w:fldCharType="end"/>
      </w:r>
      <w:r w:rsidRPr="003F3B0B">
        <w:t xml:space="preserve">. </w:t>
      </w:r>
    </w:p>
    <w:p w14:paraId="2772C309" w14:textId="106A1571" w:rsidR="00B44C2E" w:rsidRPr="003F3B0B" w:rsidRDefault="00B44C2E" w:rsidP="00654D4B">
      <w:r w:rsidRPr="003F3B0B">
        <w:t>In this study</w:t>
      </w:r>
      <w:r w:rsidR="00654D4B" w:rsidRPr="003F3B0B">
        <w:t>,</w:t>
      </w:r>
      <w:r w:rsidRPr="003F3B0B">
        <w:t xml:space="preserve"> the internal and external pressure for the riser are outlined in </w:t>
      </w:r>
      <w:r w:rsidR="003D3FD0" w:rsidRPr="003F3B0B">
        <w:fldChar w:fldCharType="begin"/>
      </w:r>
      <w:r w:rsidR="003D3FD0" w:rsidRPr="003F3B0B">
        <w:instrText xml:space="preserve"> REF _Ref11249829 \h </w:instrText>
      </w:r>
      <w:r w:rsidR="003D3FD0" w:rsidRPr="003F3B0B">
        <w:fldChar w:fldCharType="separate"/>
      </w:r>
      <w:r w:rsidR="003D1AA2" w:rsidRPr="003F3B0B">
        <w:t xml:space="preserve">Table </w:t>
      </w:r>
      <w:r w:rsidR="003D1AA2" w:rsidRPr="003F3B0B">
        <w:rPr>
          <w:noProof/>
        </w:rPr>
        <w:t>1</w:t>
      </w:r>
      <w:r w:rsidR="003D3FD0" w:rsidRPr="003F3B0B">
        <w:fldChar w:fldCharType="end"/>
      </w:r>
      <w:r w:rsidR="00654D4B" w:rsidRPr="003F3B0B">
        <w:t>;</w:t>
      </w:r>
      <w:r w:rsidRPr="003F3B0B">
        <w:t xml:space="preserve"> the additional pressure due to the straightening of the tensile armour wires, </w:t>
      </w:r>
      <w:r w:rsidRPr="003F3B0B">
        <w:rPr>
          <w:i/>
        </w:rPr>
        <w:t>p</w:t>
      </w:r>
      <w:r w:rsidRPr="003F3B0B">
        <w:rPr>
          <w:vertAlign w:val="subscript"/>
        </w:rPr>
        <w:t>a</w:t>
      </w:r>
      <w:r w:rsidRPr="003F3B0B">
        <w:t xml:space="preserve">, given by Equation </w:t>
      </w:r>
      <w:r w:rsidR="003D3FD0" w:rsidRPr="003F3B0B">
        <w:t>(</w:t>
      </w:r>
      <w:r w:rsidRPr="003F3B0B">
        <w:t xml:space="preserve">1), is also modelled. The cyclic applied displacement, </w:t>
      </w:r>
      <w:r w:rsidRPr="003F3B0B">
        <w:rPr>
          <w:rFonts w:cs="Times New Roman"/>
        </w:rPr>
        <w:t>±</w:t>
      </w:r>
      <w:proofErr w:type="spellStart"/>
      <w:r w:rsidRPr="003F3B0B">
        <w:rPr>
          <w:rFonts w:cs="Times New Roman"/>
          <w:i/>
        </w:rPr>
        <w:t>Δ</w:t>
      </w:r>
      <w:r w:rsidRPr="003F3B0B">
        <w:rPr>
          <w:vertAlign w:val="subscript"/>
        </w:rPr>
        <w:t>app</w:t>
      </w:r>
      <w:proofErr w:type="spellEnd"/>
      <w:r w:rsidRPr="003F3B0B">
        <w:t xml:space="preserve">, is identified by substituting </w:t>
      </w:r>
      <w:proofErr w:type="spellStart"/>
      <w:r w:rsidRPr="003F3B0B">
        <w:rPr>
          <w:rFonts w:cs="Times New Roman"/>
          <w:i/>
        </w:rPr>
        <w:t>Δκ</w:t>
      </w:r>
      <w:proofErr w:type="spellEnd"/>
      <w:r w:rsidRPr="003F3B0B">
        <w:rPr>
          <w:rFonts w:cs="Times New Roman"/>
          <w:i/>
        </w:rPr>
        <w:t xml:space="preserve"> </w:t>
      </w:r>
      <w:r w:rsidRPr="003F3B0B">
        <w:rPr>
          <w:rFonts w:cs="Times New Roman"/>
        </w:rPr>
        <w:t>for</w:t>
      </w:r>
      <w:r w:rsidRPr="003F3B0B">
        <w:rPr>
          <w:rFonts w:cs="Times New Roman"/>
          <w:i/>
        </w:rPr>
        <w:t xml:space="preserve"> κ </w:t>
      </w:r>
      <w:r w:rsidRPr="003F3B0B">
        <w:rPr>
          <w:rFonts w:cs="Times New Roman"/>
        </w:rPr>
        <w:t xml:space="preserve">in </w:t>
      </w:r>
      <w:r w:rsidR="00315333" w:rsidRPr="003F3B0B">
        <w:t>Equations (4) and (</w:t>
      </w:r>
      <w:r w:rsidRPr="003F3B0B">
        <w:t xml:space="preserve">5), where the global curvature range, </w:t>
      </w:r>
      <w:proofErr w:type="spellStart"/>
      <w:r w:rsidRPr="003F3B0B">
        <w:rPr>
          <w:rFonts w:cs="Times New Roman"/>
          <w:i/>
        </w:rPr>
        <w:t>Δκ</w:t>
      </w:r>
      <w:proofErr w:type="spellEnd"/>
      <w:r w:rsidR="00057CEC" w:rsidRPr="003F3B0B">
        <w:rPr>
          <w:rFonts w:cs="Times New Roman"/>
          <w:i/>
        </w:rPr>
        <w:t xml:space="preserve"> = </w:t>
      </w:r>
      <w:proofErr w:type="spellStart"/>
      <w:r w:rsidR="00057CEC" w:rsidRPr="003F3B0B">
        <w:rPr>
          <w:rFonts w:cs="Times New Roman"/>
          <w:i/>
        </w:rPr>
        <w:t>κ</w:t>
      </w:r>
      <w:r w:rsidR="00057CEC" w:rsidRPr="003F3B0B">
        <w:rPr>
          <w:vertAlign w:val="subscript"/>
        </w:rPr>
        <w:t>max</w:t>
      </w:r>
      <w:proofErr w:type="spellEnd"/>
      <w:r w:rsidR="00057CEC" w:rsidRPr="003F3B0B">
        <w:t xml:space="preserve"> - </w:t>
      </w:r>
      <w:proofErr w:type="spellStart"/>
      <w:r w:rsidR="00057CEC" w:rsidRPr="003F3B0B">
        <w:rPr>
          <w:rFonts w:cs="Times New Roman"/>
          <w:i/>
        </w:rPr>
        <w:t>κ</w:t>
      </w:r>
      <w:r w:rsidR="00057CEC" w:rsidRPr="003F3B0B">
        <w:rPr>
          <w:vertAlign w:val="subscript"/>
        </w:rPr>
        <w:t>min</w:t>
      </w:r>
      <w:proofErr w:type="spellEnd"/>
      <w:r w:rsidRPr="003F3B0B">
        <w:rPr>
          <w:rFonts w:cs="Times New Roman"/>
        </w:rPr>
        <w:t>,</w:t>
      </w:r>
      <w:r w:rsidR="00654D4B" w:rsidRPr="003F3B0B" w:rsidDel="00654D4B">
        <w:t xml:space="preserve"> </w:t>
      </w:r>
      <w:r w:rsidRPr="003F3B0B">
        <w:t xml:space="preserve">where </w:t>
      </w:r>
      <w:proofErr w:type="spellStart"/>
      <w:r w:rsidRPr="003F3B0B">
        <w:rPr>
          <w:rFonts w:cs="Times New Roman"/>
          <w:i/>
        </w:rPr>
        <w:t>κ</w:t>
      </w:r>
      <w:r w:rsidRPr="003F3B0B">
        <w:rPr>
          <w:vertAlign w:val="subscript"/>
        </w:rPr>
        <w:t>max</w:t>
      </w:r>
      <w:proofErr w:type="spellEnd"/>
      <w:r w:rsidRPr="003F3B0B">
        <w:t xml:space="preserve"> and </w:t>
      </w:r>
      <w:proofErr w:type="spellStart"/>
      <w:r w:rsidRPr="003F3B0B">
        <w:rPr>
          <w:rFonts w:cs="Times New Roman"/>
          <w:i/>
        </w:rPr>
        <w:t>κ</w:t>
      </w:r>
      <w:r w:rsidRPr="003F3B0B">
        <w:rPr>
          <w:vertAlign w:val="subscript"/>
        </w:rPr>
        <w:t>min</w:t>
      </w:r>
      <w:proofErr w:type="spellEnd"/>
      <w:r w:rsidRPr="003F3B0B">
        <w:t xml:space="preserve"> are the maximum and minimum curvatures that occur at a specific point on the riser th</w:t>
      </w:r>
      <w:r w:rsidR="00C141C9" w:rsidRPr="003F3B0B">
        <w:t>roughout the dynamic simulation</w:t>
      </w:r>
      <w:r w:rsidRPr="003F3B0B">
        <w:t>. The riser curvature histories in this study are typically symmetrical about the neutral axis of the riser (</w:t>
      </w:r>
      <w:r w:rsidR="00393297" w:rsidRPr="003F3B0B">
        <w:t>see</w:t>
      </w:r>
      <w:r w:rsidRPr="003F3B0B">
        <w:t xml:space="preserve"> </w:t>
      </w:r>
      <w:r w:rsidR="00393297" w:rsidRPr="003F3B0B">
        <w:t>R</w:t>
      </w:r>
      <w:r w:rsidRPr="003F3B0B">
        <w:t>esults section</w:t>
      </w:r>
      <w:r w:rsidR="00393297" w:rsidRPr="003F3B0B">
        <w:t xml:space="preserve"> and</w:t>
      </w:r>
      <w:r w:rsidRPr="003F3B0B">
        <w:t xml:space="preserve"> </w:t>
      </w:r>
      <w:r w:rsidR="004D2DB9" w:rsidRPr="003F3B0B">
        <w:fldChar w:fldCharType="begin"/>
      </w:r>
      <w:r w:rsidR="004D2DB9" w:rsidRPr="003F3B0B">
        <w:instrText xml:space="preserve"> REF _Ref11248699 \h </w:instrText>
      </w:r>
      <w:r w:rsidR="004D2DB9" w:rsidRPr="003F3B0B">
        <w:fldChar w:fldCharType="separate"/>
      </w:r>
      <w:r w:rsidR="003D1AA2" w:rsidRPr="003F3B0B">
        <w:t xml:space="preserve">Figure </w:t>
      </w:r>
      <w:r w:rsidR="003D1AA2" w:rsidRPr="003F3B0B">
        <w:rPr>
          <w:noProof/>
        </w:rPr>
        <w:t>8</w:t>
      </w:r>
      <w:r w:rsidR="004D2DB9" w:rsidRPr="003F3B0B">
        <w:fldChar w:fldCharType="end"/>
      </w:r>
      <w:r w:rsidRPr="003F3B0B">
        <w:t>).</w:t>
      </w:r>
    </w:p>
    <w:p w14:paraId="78B108AF" w14:textId="77777777" w:rsidR="00AE3B0E" w:rsidRPr="003F3B0B" w:rsidRDefault="00AE3B0E" w:rsidP="00AE3B0E"/>
    <w:p w14:paraId="3AA7084D" w14:textId="77777777" w:rsidR="00AE3B0E" w:rsidRPr="003F3B0B" w:rsidRDefault="00AE3B0E" w:rsidP="00AE3B0E">
      <w:pPr>
        <w:pStyle w:val="Heading2"/>
      </w:pPr>
      <w:r w:rsidRPr="003F3B0B">
        <w:t>Crack initiation</w:t>
      </w:r>
    </w:p>
    <w:p w14:paraId="34F64D03" w14:textId="6C519821" w:rsidR="00E74443" w:rsidRPr="003F3B0B" w:rsidRDefault="00B44C2E" w:rsidP="00E74443">
      <w:r w:rsidRPr="003F3B0B">
        <w:t xml:space="preserve">The numbers of cycles to crack initiation (10 </w:t>
      </w:r>
      <w:proofErr w:type="spellStart"/>
      <w:r w:rsidRPr="003F3B0B">
        <w:rPr>
          <w:rFonts w:cs="Times New Roman"/>
        </w:rPr>
        <w:t>μ</w:t>
      </w:r>
      <w:r w:rsidRPr="003F3B0B">
        <w:t>m</w:t>
      </w:r>
      <w:proofErr w:type="spellEnd"/>
      <w:r w:rsidRPr="003F3B0B">
        <w:t xml:space="preserve"> crack) have been calculated using the methodology outlined in </w:t>
      </w:r>
      <w:r w:rsidR="00DF0389" w:rsidRPr="003F3B0B">
        <w:fldChar w:fldCharType="begin" w:fldLock="1"/>
      </w:r>
      <w:r w:rsidR="00EF5D3F" w:rsidRPr="003F3B0B">
        <w:instrText>ADDIN CSL_CITATION { "citationItems" : [ { "id" : "ITEM-1", "itemData" : { "DOI" : "10.1016/J.TRIBOINT.2016.10.020", "ISSN" : "0301-679X", "abstract" : "This paper presents a combined experimental and computational methodology for fretting wear-fatigue prediction of pressure armour wire in flexible marine risers. Fretting wear, friction and fatigue parameters of pressure armour material have been characterised experimentally. A combined fretting wear-fatigue finite element model has been developed using an adaptive meshing technique and the effect of bending-induced tangential slip has been characterised. It has been shown that a surface damage parameter combined with a multiaxial fatigue parameter can accurately predict the beneficial effect of fretting wear on fatigue predictions. This provides a computationally efficient design tool for fretting in the pressure armour layer of flexible marine risers.", "author" : [ { "dropping-particle" : "", "family" : "O\u2019Halloran", "given" : "S.M.", "non-dropping-particle" : "", "parse-names" : false, "suffix" : "" }, { "dropping-particle" : "", "family" : "Shipway", "given" : "P.H.", "non-dropping-particle" : "", "parse-names" : false, "suffix" : "" }, { "dropping-particle" : "", "family" : "Connaire", "given" : "A.D.", "non-dropping-particle" : "", "parse-names" : false, "suffix" : "" }, { "dropping-particle" : "", "family" : "Leen", "given" : "S.B.", "non-dropping-particle" : "", "parse-names" : false, "suffix" : "" }, { "dropping-particle" : "", "family" : "Harte", "given" : "A.M.", "non-dropping-particle" : "", "parse-names" : false, "suffix" : "" } ], "container-title" : "Tribology International", "id" : "ITEM-1", "issued" : { "date-parts" : [ [ "2017", "4" ] ] }, "page" : "7-15", "publisher" : "Elsevier", "title" : "A combined wear-fatigue design methodology for fretting in the pressure armour layer of flexible marine risers", "type" : "article-journal", "volume" : "108" }, "uris" : [ "http://www.mendeley.com/documents/?uuid=185157f9-3db6-4b4e-b1c3-f959292fae47" ] } ], "mendeley" : { "formattedCitation" : "[23]", "plainTextFormattedCitation" : "[23]", "previouslyFormattedCitation" : "[23]" }, "properties" : { "noteIndex" : 15 }, "schema" : "https://github.com/citation-style-language/schema/raw/master/csl-citation.json" }</w:instrText>
      </w:r>
      <w:r w:rsidR="00DF0389" w:rsidRPr="003F3B0B">
        <w:fldChar w:fldCharType="separate"/>
      </w:r>
      <w:r w:rsidR="00EF5D3F" w:rsidRPr="003F3B0B">
        <w:rPr>
          <w:noProof/>
        </w:rPr>
        <w:t>[23]</w:t>
      </w:r>
      <w:r w:rsidR="00DF0389" w:rsidRPr="003F3B0B">
        <w:fldChar w:fldCharType="end"/>
      </w:r>
      <w:r w:rsidRPr="003F3B0B">
        <w:t xml:space="preserve">. </w:t>
      </w:r>
      <w:r w:rsidR="00393297" w:rsidRPr="003F3B0B">
        <w:t>This</w:t>
      </w:r>
      <w:r w:rsidR="003302CC" w:rsidRPr="003F3B0B">
        <w:t xml:space="preserve"> </w:t>
      </w:r>
      <w:r w:rsidRPr="003F3B0B">
        <w:t>implements the fretting damage parameter proposed by</w:t>
      </w:r>
      <w:r w:rsidR="002762E7" w:rsidRPr="003F3B0B">
        <w:t xml:space="preserve"> </w:t>
      </w:r>
      <w:r w:rsidRPr="003F3B0B">
        <w:t>Ding et al.</w:t>
      </w:r>
      <w:r w:rsidR="00723C3C" w:rsidRPr="003F3B0B">
        <w:t xml:space="preserve"> </w:t>
      </w:r>
      <w:r w:rsidR="00723C3C" w:rsidRPr="003F3B0B">
        <w:fldChar w:fldCharType="begin" w:fldLock="1"/>
      </w:r>
      <w:r w:rsidR="00EF5D3F" w:rsidRPr="003F3B0B">
        <w:instrText>ADDIN CSL_CITATION { "citationItems" : [ { "id" : "ITEM-1", "itemData" : { "DOI" : "10.1016/j.ijfatigue.2010.09.008", "ISBN" : "0142-1123", "ISSN" : "01421123", "abstract" : "This paper presents two empirical parameters for the prediction of fretting. The first is a simple parameter, Dfret1, which is shown to correlate test data against fretting fatigue life in terms of the so-called running conditions of contact displacement and normal load. The second, more complex, parameter is shown to have the ability to capture: (i) the effect of relative slip on fretting fatigue life and (ii) a well-known fretting fatigue contact size effect in a more rational framework. This parameter combines a multiaxial fatigue parameter, the constants for which can be obtained from plain-fatigue testing, and a surface damage parameter Dfret2, which represents the surface damaging effect of fretting, the tribological constants for which can be obtained from fretting wear and fretting fatigue test data. A key benefit of Dfret2 is that it circumvents time-consuming incremental wear simulations.", "author" : [ { "dropping-particle" : "", "family" : "Ding", "given" : "J.", "non-dropping-particle" : "", "parse-names" : false, "suffix" : "" }, { "dropping-particle" : "", "family" : "Houghton", "given" : "D.", "non-dropping-particle" : "", "parse-names" : false, "suffix" : "" }, { "dropping-particle" : "", "family" : "Williams", "given" : "E.J.", "non-dropping-particle" : "", "parse-names" : false, "suffix" : "" }, { "dropping-particle" : "", "family" : "Leen", "given" : "S.B.", "non-dropping-particle" : "", "parse-names" : false, "suffix" : "" } ], "container-title" : "International Journal of Fatigue", "id" : "ITEM-1", "issue" : "3", "issued" : { "date-parts" : [ [ "2011" ] ] }, "page" : "332-342", "publisher" : "Elsevier Ltd", "title" : "Simple parameters to predict effect of surface damage on fretting fatigue", "type" : "article-journal", "volume" : "33" }, "uris" : [ "http://www.mendeley.com/documents/?uuid=14cf07f5-3bdc-4edb-a51a-50307b7e1ae5" ] } ], "mendeley" : { "formattedCitation" : "[24]", "plainTextFormattedCitation" : "[24]", "previouslyFormattedCitation" : "[24]" }, "properties" : { "noteIndex" : 15 }, "schema" : "https://github.com/citation-style-language/schema/raw/master/csl-citation.json" }</w:instrText>
      </w:r>
      <w:r w:rsidR="00723C3C" w:rsidRPr="003F3B0B">
        <w:fldChar w:fldCharType="separate"/>
      </w:r>
      <w:r w:rsidR="00EF5D3F" w:rsidRPr="003F3B0B">
        <w:rPr>
          <w:noProof/>
        </w:rPr>
        <w:t>[24]</w:t>
      </w:r>
      <w:r w:rsidR="00723C3C" w:rsidRPr="003F3B0B">
        <w:fldChar w:fldCharType="end"/>
      </w:r>
      <w:r w:rsidR="002762E7" w:rsidRPr="003F3B0B">
        <w:t xml:space="preserve">, </w:t>
      </w:r>
      <w:r w:rsidRPr="003F3B0B">
        <w:rPr>
          <w:i/>
          <w:noProof/>
        </w:rPr>
        <w:t>D</w:t>
      </w:r>
      <w:r w:rsidRPr="003F3B0B">
        <w:rPr>
          <w:noProof/>
          <w:vertAlign w:val="subscript"/>
        </w:rPr>
        <w:t>fret</w:t>
      </w:r>
      <w:r w:rsidRPr="003F3B0B">
        <w:t>, along with critical-plane SWT</w:t>
      </w:r>
      <w:r w:rsidR="003302CC" w:rsidRPr="003F3B0B">
        <w:t xml:space="preserve"> fatigue indicator parameter</w:t>
      </w:r>
      <w:r w:rsidRPr="003F3B0B">
        <w:t xml:space="preserve"> for the nub-groove fretting contact in flexible marine risers as outlined in</w:t>
      </w:r>
      <w:r w:rsidR="00B956C5" w:rsidRPr="003F3B0B">
        <w:t xml:space="preserve"> </w:t>
      </w:r>
      <w:r w:rsidR="00B956C5" w:rsidRPr="003F3B0B">
        <w:fldChar w:fldCharType="begin"/>
      </w:r>
      <w:r w:rsidR="00B956C5" w:rsidRPr="003F3B0B">
        <w:instrText xml:space="preserve"> REF _Ref11236066 \h </w:instrText>
      </w:r>
      <w:r w:rsidR="00B956C5" w:rsidRPr="003F3B0B">
        <w:fldChar w:fldCharType="separate"/>
      </w:r>
      <w:r w:rsidR="003D1AA2" w:rsidRPr="003F3B0B">
        <w:t xml:space="preserve">Figure </w:t>
      </w:r>
      <w:r w:rsidR="003D1AA2" w:rsidRPr="003F3B0B">
        <w:rPr>
          <w:noProof/>
        </w:rPr>
        <w:t>2</w:t>
      </w:r>
      <w:r w:rsidR="00B956C5" w:rsidRPr="003F3B0B">
        <w:fldChar w:fldCharType="end"/>
      </w:r>
      <w:r w:rsidRPr="003F3B0B">
        <w:t>. Therefore, wear is not explicitly modelled here.</w:t>
      </w:r>
      <w:r w:rsidR="00E74443" w:rsidRPr="003F3B0B">
        <w:t xml:space="preserve"> The </w:t>
      </w:r>
      <w:r w:rsidR="00E74443" w:rsidRPr="003F3B0B">
        <w:rPr>
          <w:i/>
          <w:noProof/>
        </w:rPr>
        <w:t>D</w:t>
      </w:r>
      <w:r w:rsidR="00E74443" w:rsidRPr="003F3B0B">
        <w:rPr>
          <w:noProof/>
          <w:vertAlign w:val="subscript"/>
        </w:rPr>
        <w:t>fret</w:t>
      </w:r>
      <w:r w:rsidR="00E74443" w:rsidRPr="003F3B0B">
        <w:t xml:space="preserve"> method introduces a surface damage factor for the effects of fretting wear in conjunction with critical-plane SWT approach, developed to incorporate the effects of slip and surface wear damage on crack initiation, as follows: </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850"/>
      </w:tblGrid>
      <w:tr w:rsidR="003F3B0B" w:rsidRPr="003F3B0B" w14:paraId="3B6C39E8" w14:textId="77777777" w:rsidTr="00327B40">
        <w:tc>
          <w:tcPr>
            <w:tcW w:w="8472" w:type="dxa"/>
            <w:vAlign w:val="center"/>
          </w:tcPr>
          <w:p w14:paraId="67F53A2A" w14:textId="74FC1AB0" w:rsidR="00E74443" w:rsidRPr="003F3B0B" w:rsidRDefault="00C47C78" w:rsidP="000C4BCD">
            <w:pPr>
              <w:pStyle w:val="Equations"/>
              <w:jc w:val="center"/>
            </w:pPr>
            <w:r w:rsidRPr="003F3B0B">
              <w:rPr>
                <w:noProof/>
                <w:position w:val="-24"/>
                <w:lang w:eastAsia="en-IE"/>
              </w:rPr>
              <w:drawing>
                <wp:inline distT="0" distB="0" distL="0" distR="0" wp14:anchorId="0DD0E962" wp14:editId="36F1CAC1">
                  <wp:extent cx="2981325" cy="476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1325" cy="476250"/>
                          </a:xfrm>
                          <a:prstGeom prst="rect">
                            <a:avLst/>
                          </a:prstGeom>
                          <a:noFill/>
                          <a:ln>
                            <a:noFill/>
                          </a:ln>
                        </pic:spPr>
                      </pic:pic>
                    </a:graphicData>
                  </a:graphic>
                </wp:inline>
              </w:drawing>
            </w:r>
          </w:p>
        </w:tc>
        <w:tc>
          <w:tcPr>
            <w:tcW w:w="850" w:type="dxa"/>
            <w:vAlign w:val="center"/>
          </w:tcPr>
          <w:p w14:paraId="45C54170" w14:textId="77777777" w:rsidR="00E74443" w:rsidRPr="003F3B0B" w:rsidRDefault="00E74443" w:rsidP="000C4BCD">
            <w:pPr>
              <w:pStyle w:val="Caption"/>
              <w:jc w:val="right"/>
            </w:pPr>
            <w:r w:rsidRPr="003F3B0B">
              <w:t>(</w:t>
            </w:r>
            <w:fldSimple w:instr=" SEQ 7. \* ARABIC ">
              <w:r w:rsidR="003D1AA2" w:rsidRPr="003F3B0B">
                <w:rPr>
                  <w:noProof/>
                </w:rPr>
                <w:t>7</w:t>
              </w:r>
            </w:fldSimple>
            <w:r w:rsidRPr="003F3B0B">
              <w:t>)</w:t>
            </w:r>
          </w:p>
        </w:tc>
      </w:tr>
    </w:tbl>
    <w:p w14:paraId="41F6596A" w14:textId="56041F4D" w:rsidR="00E74443" w:rsidRPr="003F3B0B" w:rsidRDefault="00E74443" w:rsidP="00E74443">
      <w:pPr>
        <w:pStyle w:val="NormalIndent"/>
        <w:ind w:left="0" w:firstLine="0"/>
      </w:pPr>
      <w:proofErr w:type="gramStart"/>
      <w:r w:rsidRPr="003F3B0B">
        <w:t>where</w:t>
      </w:r>
      <w:proofErr w:type="gramEnd"/>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5"/>
        <w:gridCol w:w="1057"/>
      </w:tblGrid>
      <w:tr w:rsidR="003F3B0B" w:rsidRPr="003F3B0B" w14:paraId="1C84643E" w14:textId="77777777" w:rsidTr="00327B40">
        <w:tc>
          <w:tcPr>
            <w:tcW w:w="8265" w:type="dxa"/>
            <w:vAlign w:val="center"/>
          </w:tcPr>
          <w:p w14:paraId="22D11313" w14:textId="6B694903" w:rsidR="00E74443" w:rsidRPr="003F3B0B" w:rsidRDefault="00C47C78" w:rsidP="000C4BCD">
            <w:pPr>
              <w:pStyle w:val="Equations"/>
              <w:jc w:val="center"/>
            </w:pPr>
            <w:r w:rsidRPr="003F3B0B">
              <w:rPr>
                <w:noProof/>
                <w:position w:val="-30"/>
                <w:lang w:eastAsia="en-IE"/>
              </w:rPr>
              <w:drawing>
                <wp:inline distT="0" distB="0" distL="0" distR="0" wp14:anchorId="395AED15" wp14:editId="0921A951">
                  <wp:extent cx="1752600" cy="476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600" cy="476250"/>
                          </a:xfrm>
                          <a:prstGeom prst="rect">
                            <a:avLst/>
                          </a:prstGeom>
                          <a:noFill/>
                          <a:ln>
                            <a:noFill/>
                          </a:ln>
                        </pic:spPr>
                      </pic:pic>
                    </a:graphicData>
                  </a:graphic>
                </wp:inline>
              </w:drawing>
            </w:r>
          </w:p>
        </w:tc>
        <w:tc>
          <w:tcPr>
            <w:tcW w:w="1057" w:type="dxa"/>
            <w:vAlign w:val="center"/>
          </w:tcPr>
          <w:p w14:paraId="49D57207" w14:textId="77777777" w:rsidR="00E74443" w:rsidRPr="003F3B0B" w:rsidRDefault="00E74443" w:rsidP="000C4BCD">
            <w:pPr>
              <w:pStyle w:val="Equations"/>
            </w:pPr>
            <w:r w:rsidRPr="003F3B0B">
              <w:t>(</w:t>
            </w:r>
            <w:fldSimple w:instr=" SEQ 7. \* ARABIC ">
              <w:r w:rsidR="003D1AA2" w:rsidRPr="003F3B0B">
                <w:rPr>
                  <w:noProof/>
                </w:rPr>
                <w:t>8</w:t>
              </w:r>
            </w:fldSimple>
            <w:r w:rsidRPr="003F3B0B">
              <w:t>)</w:t>
            </w:r>
          </w:p>
        </w:tc>
      </w:tr>
    </w:tbl>
    <w:p w14:paraId="1E064F01" w14:textId="71F4B3E6" w:rsidR="00E74443" w:rsidRPr="003F3B0B" w:rsidRDefault="00E74443" w:rsidP="00E74443">
      <w:proofErr w:type="gramStart"/>
      <w:r w:rsidRPr="003F3B0B">
        <w:lastRenderedPageBreak/>
        <w:t>where</w:t>
      </w:r>
      <w:proofErr w:type="gramEnd"/>
      <w:r w:rsidRPr="003F3B0B">
        <w:t xml:space="preserve"> </w:t>
      </w:r>
      <w:r w:rsidRPr="003F3B0B">
        <w:rPr>
          <w:i/>
        </w:rPr>
        <w:t>C</w:t>
      </w:r>
      <w:r w:rsidRPr="003F3B0B">
        <w:t xml:space="preserve">, </w:t>
      </w:r>
      <w:r w:rsidRPr="003F3B0B">
        <w:rPr>
          <w:i/>
        </w:rPr>
        <w:t>m,</w:t>
      </w:r>
      <w:r w:rsidRPr="003F3B0B">
        <w:t xml:space="preserve"> and </w:t>
      </w:r>
      <w:r w:rsidR="00C47C78" w:rsidRPr="003F3B0B">
        <w:rPr>
          <w:noProof/>
          <w:position w:val="-12"/>
          <w:lang w:eastAsia="en-IE"/>
        </w:rPr>
        <w:drawing>
          <wp:inline distT="0" distB="0" distL="0" distR="0" wp14:anchorId="1EFD0F5C" wp14:editId="6437C4D7">
            <wp:extent cx="381000" cy="238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3F3B0B">
        <w:t xml:space="preserve"> are material parameters; </w:t>
      </w:r>
      <w:r w:rsidRPr="003F3B0B">
        <w:rPr>
          <w:rFonts w:cs="Times New Roman"/>
          <w:i/>
        </w:rPr>
        <w:t>τ</w:t>
      </w:r>
      <w:r w:rsidRPr="003F3B0B">
        <w:t xml:space="preserve"> and </w:t>
      </w:r>
      <w:r w:rsidRPr="003F3B0B">
        <w:rPr>
          <w:rFonts w:cs="Times New Roman"/>
          <w:i/>
        </w:rPr>
        <w:t>δ</w:t>
      </w:r>
      <w:r w:rsidRPr="003F3B0B">
        <w:t xml:space="preserve"> are the local contact shear and slip, respectively. (</w:t>
      </w:r>
      <w:proofErr w:type="spellStart"/>
      <w:r w:rsidRPr="003F3B0B">
        <w:rPr>
          <w:rFonts w:cs="Times New Roman"/>
          <w:i/>
        </w:rPr>
        <w:t>τδ</w:t>
      </w:r>
      <w:proofErr w:type="spellEnd"/>
      <w:r w:rsidRPr="003F3B0B">
        <w:t>)</w:t>
      </w:r>
      <w:proofErr w:type="spellStart"/>
      <w:r w:rsidRPr="003F3B0B">
        <w:rPr>
          <w:noProof/>
          <w:vertAlign w:val="subscript"/>
        </w:rPr>
        <w:t>th</w:t>
      </w:r>
      <w:proofErr w:type="spellEnd"/>
      <w:r w:rsidRPr="003F3B0B">
        <w:rPr>
          <w:vertAlign w:val="subscript"/>
        </w:rPr>
        <w:t xml:space="preserve"> </w:t>
      </w:r>
      <w:r w:rsidRPr="003F3B0B">
        <w:t xml:space="preserve">has been estimated here as a value slightly greater than the value </w:t>
      </w:r>
      <w:r w:rsidRPr="003F3B0B">
        <w:rPr>
          <w:noProof/>
        </w:rPr>
        <w:t>at</w:t>
      </w:r>
      <w:r w:rsidRPr="003F3B0B">
        <w:t xml:space="preserve"> the partial slip-gross slip transition, based on FE simulations and following Ding et al.</w:t>
      </w:r>
      <w:r w:rsidR="00723C3C" w:rsidRPr="003F3B0B">
        <w:t xml:space="preserve"> </w:t>
      </w:r>
      <w:r w:rsidR="00723C3C" w:rsidRPr="003F3B0B">
        <w:fldChar w:fldCharType="begin" w:fldLock="1"/>
      </w:r>
      <w:r w:rsidR="00EF5D3F" w:rsidRPr="003F3B0B">
        <w:instrText>ADDIN CSL_CITATION { "citationItems" : [ { "id" : "ITEM-1", "itemData" : { "DOI" : "10.1016/j.ijfatigue.2010.09.008", "ISBN" : "0142-1123", "ISSN" : "01421123", "abstract" : "This paper presents two empirical parameters for the prediction of fretting. The first is a simple parameter, Dfret1, which is shown to correlate test data against fretting fatigue life in terms of the so-called running conditions of contact displacement and normal load. The second, more complex, parameter is shown to have the ability to capture: (i) the effect of relative slip on fretting fatigue life and (ii) a well-known fretting fatigue contact size effect in a more rational framework. This parameter combines a multiaxial fatigue parameter, the constants for which can be obtained from plain-fatigue testing, and a surface damage parameter Dfret2, which represents the surface damaging effect of fretting, the tribological constants for which can be obtained from fretting wear and fretting fatigue test data. A key benefit of Dfret2 is that it circumvents time-consuming incremental wear simulations.", "author" : [ { "dropping-particle" : "", "family" : "Ding", "given" : "J.", "non-dropping-particle" : "", "parse-names" : false, "suffix" : "" }, { "dropping-particle" : "", "family" : "Houghton", "given" : "D.", "non-dropping-particle" : "", "parse-names" : false, "suffix" : "" }, { "dropping-particle" : "", "family" : "Williams", "given" : "E.J.", "non-dropping-particle" : "", "parse-names" : false, "suffix" : "" }, { "dropping-particle" : "", "family" : "Leen", "given" : "S.B.", "non-dropping-particle" : "", "parse-names" : false, "suffix" : "" } ], "container-title" : "International Journal of Fatigue", "id" : "ITEM-1", "issue" : "3", "issued" : { "date-parts" : [ [ "2011" ] ] }, "page" : "332-342", "publisher" : "Elsevier Ltd", "title" : "Simple parameters to predict effect of surface damage on fretting fatigue", "type" : "article-journal", "volume" : "33" }, "uris" : [ "http://www.mendeley.com/documents/?uuid=14cf07f5-3bdc-4edb-a51a-50307b7e1ae5" ] } ], "mendeley" : { "formattedCitation" : "[24]", "plainTextFormattedCitation" : "[24]", "previouslyFormattedCitation" : "[24]" }, "properties" : { "noteIndex" : 15 }, "schema" : "https://github.com/citation-style-language/schema/raw/master/csl-citation.json" }</w:instrText>
      </w:r>
      <w:r w:rsidR="00723C3C" w:rsidRPr="003F3B0B">
        <w:fldChar w:fldCharType="separate"/>
      </w:r>
      <w:r w:rsidR="00EF5D3F" w:rsidRPr="003F3B0B">
        <w:rPr>
          <w:noProof/>
        </w:rPr>
        <w:t>[24]</w:t>
      </w:r>
      <w:r w:rsidR="00723C3C" w:rsidRPr="003F3B0B">
        <w:fldChar w:fldCharType="end"/>
      </w:r>
      <w:r w:rsidRPr="003F3B0B">
        <w:t xml:space="preserve">. For </w:t>
      </w:r>
      <w:proofErr w:type="spellStart"/>
      <w:r w:rsidRPr="003F3B0B">
        <w:rPr>
          <w:rFonts w:cs="Times New Roman"/>
          <w:i/>
        </w:rPr>
        <w:t>τδ</w:t>
      </w:r>
      <w:proofErr w:type="spellEnd"/>
      <w:r w:rsidRPr="003F3B0B">
        <w:t xml:space="preserve"> &lt; (</w:t>
      </w:r>
      <w:proofErr w:type="spellStart"/>
      <w:r w:rsidRPr="003F3B0B">
        <w:rPr>
          <w:rFonts w:cs="Times New Roman"/>
          <w:i/>
        </w:rPr>
        <w:t>τδ</w:t>
      </w:r>
      <w:proofErr w:type="spellEnd"/>
      <w:r w:rsidRPr="003F3B0B">
        <w:t>)</w:t>
      </w:r>
      <w:proofErr w:type="spellStart"/>
      <w:r w:rsidRPr="003F3B0B">
        <w:rPr>
          <w:noProof/>
          <w:vertAlign w:val="subscript"/>
        </w:rPr>
        <w:t>th</w:t>
      </w:r>
      <w:proofErr w:type="spellEnd"/>
      <w:r w:rsidRPr="003F3B0B">
        <w:t>,</w:t>
      </w:r>
      <w:r w:rsidRPr="003F3B0B">
        <w:rPr>
          <w:vertAlign w:val="subscript"/>
        </w:rPr>
        <w:t xml:space="preserve"> </w:t>
      </w:r>
      <w:r w:rsidRPr="003F3B0B">
        <w:t xml:space="preserve">the unmodified SWT value is used (i.e. </w:t>
      </w:r>
      <w:r w:rsidRPr="003F3B0B">
        <w:rPr>
          <w:i/>
          <w:noProof/>
        </w:rPr>
        <w:t>D</w:t>
      </w:r>
      <w:r w:rsidRPr="003F3B0B">
        <w:rPr>
          <w:noProof/>
          <w:vertAlign w:val="subscript"/>
        </w:rPr>
        <w:t>fret</w:t>
      </w:r>
      <w:r w:rsidRPr="003F3B0B">
        <w:t xml:space="preserve"> = 1); for </w:t>
      </w:r>
      <w:proofErr w:type="spellStart"/>
      <w:r w:rsidRPr="003F3B0B">
        <w:t>τδ</w:t>
      </w:r>
      <w:proofErr w:type="spellEnd"/>
      <w:r w:rsidRPr="003F3B0B">
        <w:t xml:space="preserve"> &gt; (</w:t>
      </w:r>
      <w:proofErr w:type="spellStart"/>
      <w:r w:rsidRPr="003F3B0B">
        <w:t>τδ</w:t>
      </w:r>
      <w:proofErr w:type="spellEnd"/>
      <w:r w:rsidRPr="003F3B0B">
        <w:t>)</w:t>
      </w:r>
      <w:proofErr w:type="spellStart"/>
      <w:r w:rsidRPr="003F3B0B">
        <w:rPr>
          <w:noProof/>
          <w:vertAlign w:val="subscript"/>
        </w:rPr>
        <w:t>th</w:t>
      </w:r>
      <w:proofErr w:type="spellEnd"/>
      <w:r w:rsidRPr="003F3B0B">
        <w:t>, the SWT-</w:t>
      </w:r>
      <w:proofErr w:type="spellStart"/>
      <w:r w:rsidRPr="003F3B0B">
        <w:rPr>
          <w:i/>
          <w:noProof/>
        </w:rPr>
        <w:t>D</w:t>
      </w:r>
      <w:r w:rsidRPr="003F3B0B">
        <w:rPr>
          <w:noProof/>
          <w:vertAlign w:val="subscript"/>
        </w:rPr>
        <w:t>fret</w:t>
      </w:r>
      <w:proofErr w:type="spellEnd"/>
      <w:r w:rsidRPr="003F3B0B">
        <w:t xml:space="preserve"> value is used </w:t>
      </w:r>
      <w:r w:rsidR="003A5FCE" w:rsidRPr="003F3B0B">
        <w:fldChar w:fldCharType="begin" w:fldLock="1"/>
      </w:r>
      <w:r w:rsidR="00EF5D3F" w:rsidRPr="003F3B0B">
        <w:instrText>ADDIN CSL_CITATION { "citationItems" : [ { "id" : "ITEM-1", "itemData" : { "DOI" : "10.1016/j.triboint.2016.02.040", "ISSN" : "0301679X", "abstract" : "This paper presents a computational methodology for frictional contact mechanics of the pressure armour layer in flexible risers. This will allow, for the first time, quantification of key fretting variables, such as contact pressure, relative slip and sub-surface stresses in this complex geometry, under representative loading conditions. Fatigue lives are calculated using the 3-dimensional critical plane Smith\u2013Watson\u2013Topper multiaxial fatigue parameter. It is shown that COF has a significant effect on predicted trailing-edge tensile stresses in the pressure armour layer and, hence on fretting crack initiation in risers. It is also shown that operating pressure and bending-induced axial displacement significantly affect predicted crack initiation. These results will facilitate representative fretting wear and fretting fatigue testing of pressure armour layer material.", "author" : [ { "dropping-particle" : "", "family" : "O\u2019Halloran", "given" : "S.M.", "non-dropping-particle" : "", "parse-names" : false, "suffix" : "" }, { "dropping-particle" : "", "family" : "Harte", "given" : "A.M.", "non-dropping-particle" : "", "parse-names" : false, "suffix" : "" }, { "dropping-particle" : "", "family" : "Connaire", "given" : "A.D.", "non-dropping-particle" : "", "parse-names" : false, "suffix" : "" }, { "dropping-particle" : "", "family" : "Leen", "given" : "S.B.", "non-dropping-particle" : "", "parse-names" : false, "suffix" : "" } ], "container-title" : "Tribology International", "id" : "ITEM-1", "issued" : { "date-parts" : [ [ "2016", "3" ] ] }, "page" : "306-316", "title" : "Modelling of fretting in the pressure armour layer of flexible marine risers", "type" : "article-journal", "volume" : "100" }, "uris" : [ "http://www.mendeley.com/documents/?uuid=b80948ad-fca6-4929-8343-b20fd51894bb" ] } ], "mendeley" : { "formattedCitation" : "[22]", "plainTextFormattedCitation" : "[22]", "previouslyFormattedCitation" : "[22]" }, "properties" : { "noteIndex" : 16 }, "schema" : "https://github.com/citation-style-language/schema/raw/master/csl-citation.json" }</w:instrText>
      </w:r>
      <w:r w:rsidR="003A5FCE" w:rsidRPr="003F3B0B">
        <w:fldChar w:fldCharType="separate"/>
      </w:r>
      <w:r w:rsidR="00EF5D3F" w:rsidRPr="003F3B0B">
        <w:rPr>
          <w:noProof/>
        </w:rPr>
        <w:t>[22]</w:t>
      </w:r>
      <w:r w:rsidR="003A5FCE" w:rsidRPr="003F3B0B">
        <w:fldChar w:fldCharType="end"/>
      </w:r>
      <w:r w:rsidRPr="003F3B0B">
        <w:t>.</w:t>
      </w:r>
      <w:r w:rsidR="008A5E16" w:rsidRPr="003F3B0B">
        <w:t xml:space="preserve"> The </w:t>
      </w:r>
      <w:r w:rsidR="002F7743" w:rsidRPr="003F3B0B">
        <w:t>low- and high-</w:t>
      </w:r>
      <w:r w:rsidR="00A76C82" w:rsidRPr="003F3B0B">
        <w:t>cycle</w:t>
      </w:r>
      <w:r w:rsidR="002F7743" w:rsidRPr="003F3B0B">
        <w:t xml:space="preserve"> fatigue parameters</w:t>
      </w:r>
      <w:r w:rsidR="00A76C82" w:rsidRPr="003F3B0B">
        <w:t xml:space="preserve"> </w:t>
      </w:r>
      <w:r w:rsidR="002F7743" w:rsidRPr="003F3B0B">
        <w:t xml:space="preserve">and </w:t>
      </w:r>
      <w:proofErr w:type="spellStart"/>
      <w:r w:rsidR="002F7743" w:rsidRPr="003F3B0B">
        <w:rPr>
          <w:i/>
        </w:rPr>
        <w:t>D</w:t>
      </w:r>
      <w:r w:rsidR="002F7743" w:rsidRPr="003F3B0B">
        <w:rPr>
          <w:vertAlign w:val="subscript"/>
        </w:rPr>
        <w:t>fret</w:t>
      </w:r>
      <w:proofErr w:type="spellEnd"/>
      <w:r w:rsidR="002F7743" w:rsidRPr="003F3B0B">
        <w:t xml:space="preserve"> </w:t>
      </w:r>
      <w:r w:rsidR="008A5E16" w:rsidRPr="003F3B0B">
        <w:t>material parameters used here are presented in</w:t>
      </w:r>
      <w:r w:rsidR="00A76C82" w:rsidRPr="003F3B0B">
        <w:t xml:space="preserve"> </w:t>
      </w:r>
      <w:r w:rsidR="00A76C82" w:rsidRPr="003F3B0B">
        <w:fldChar w:fldCharType="begin"/>
      </w:r>
      <w:r w:rsidR="00A76C82" w:rsidRPr="003F3B0B">
        <w:instrText xml:space="preserve"> REF _Ref450833270 \h  \* MERGEFORMAT </w:instrText>
      </w:r>
      <w:r w:rsidR="00A76C82" w:rsidRPr="003F3B0B">
        <w:fldChar w:fldCharType="separate"/>
      </w:r>
      <w:r w:rsidR="003D1AA2" w:rsidRPr="003F3B0B">
        <w:t xml:space="preserve">Table </w:t>
      </w:r>
      <w:r w:rsidR="003D1AA2" w:rsidRPr="003F3B0B">
        <w:rPr>
          <w:noProof/>
        </w:rPr>
        <w:t>5</w:t>
      </w:r>
      <w:r w:rsidR="00A76C82" w:rsidRPr="003F3B0B">
        <w:fldChar w:fldCharType="end"/>
      </w:r>
      <w:r w:rsidR="00A76C82" w:rsidRPr="003F3B0B">
        <w:t>.</w:t>
      </w:r>
      <w:r w:rsidR="008A5E16" w:rsidRPr="003F3B0B">
        <w:t xml:space="preserve"> This model was developed using wear coefficients calculated from experiments on representative pressure armour material but remains valid based on the experimental results of the present work on actual pressure armour material, as presented above in Section 5.1. </w:t>
      </w:r>
    </w:p>
    <w:p w14:paraId="7311A0D8" w14:textId="77777777" w:rsidR="00AE3B0E" w:rsidRPr="003F3B0B" w:rsidRDefault="00AE3B0E" w:rsidP="00AE3B0E"/>
    <w:p w14:paraId="06546340" w14:textId="77777777" w:rsidR="00AE3B0E" w:rsidRPr="003F3B0B" w:rsidRDefault="00AE3B0E" w:rsidP="00AE3B0E">
      <w:pPr>
        <w:pStyle w:val="Heading2"/>
      </w:pPr>
      <w:r w:rsidRPr="003F3B0B">
        <w:t>Crack propagation</w:t>
      </w:r>
    </w:p>
    <w:p w14:paraId="6E704D90" w14:textId="66136CF5" w:rsidR="00B44C2E" w:rsidRPr="003F3B0B" w:rsidRDefault="00B44C2E" w:rsidP="00B44C2E">
      <w:r w:rsidRPr="003F3B0B">
        <w:t>This section describes the estimation of crack propagation using a weight</w:t>
      </w:r>
      <w:r w:rsidR="003302CC" w:rsidRPr="003F3B0B">
        <w:t>-</w:t>
      </w:r>
      <w:r w:rsidRPr="003F3B0B">
        <w:t>function approach</w:t>
      </w:r>
      <w:r w:rsidR="00D74432" w:rsidRPr="003F3B0B">
        <w:t xml:space="preserve"> </w:t>
      </w:r>
      <w:r w:rsidR="00D74432" w:rsidRPr="003F3B0B">
        <w:fldChar w:fldCharType="begin" w:fldLock="1"/>
      </w:r>
      <w:r w:rsidR="00EF5D3F" w:rsidRPr="003F3B0B">
        <w:instrText>ADDIN CSL_CITATION { "citationItems" : [ { "id" : "ITEM-1", "itemData" : { "DOI" : "10.1016/j.ijfatigue.2008.12.005", "ISBN" : "0142-1123", "ISSN" : "01421123", "abstract" : "This paper presents a combined experimental and computational methodology for fretting fatigue life prediction of aeroengine splined couplings under combined loading cycles involving cyclic torque and axial load, as well as rotating bending and fluctuating torque. The experimental method is based on the concept of a simplified representative test, which mimics the multiaxial fretting conditions between spline teeth via biaxial loading of specially-designed bridge pads and a fatigue specimen. The numerical method is based on a three-dimensional finite element model of the test rig assembly, including frictional contact effects, along with a multiaxial, critical-plane fatigue parameter for crack nucleation followed by crack growth prediction in the Paris regime using El Haddad small crack correction. The prediction methodology is shown to successfully capture the effect of the key fretting fatigue stress, which mimics the spline rotating bending moment, on total fatigue life.", "author" : [ { "dropping-particle" : "", "family" : "Houghton", "given" : "D", "non-dropping-particle" : "", "parse-names" : false, "suffix" : "" }, { "dropping-particle" : "", "family" : "Wavish", "given" : "P M", "non-dropping-particle" : "", "parse-names" : false, "suffix" : "" }, { "dropping-particle" : "", "family" : "Williams", "given" : "E J", "non-dropping-particle" : "", "parse-names" : false, "suffix" : "" }, { "dropping-particle" : "", "family" : "Leen", "given" : "S B", "non-dropping-particle" : "", "parse-names" : false, "suffix" : "" } ], "container-title" : "International Journal of Fatigue", "id" : "ITEM-1", "issue" : "11\u201312", "issued" : { "date-parts" : [ [ "2009" ] ] }, "page" : "1805-1815", "publisher" : "Elsevier Ltd", "title" : "Multiaxial fretting fatigue testing and prediction for splined couplings", "type" : "article-journal", "volume" : "31" }, "uris" : [ "http://www.mendeley.com/documents/?uuid=318c3f72-df99-48f4-904f-8883818bef0b" ] } ], "mendeley" : { "formattedCitation" : "[45]", "plainTextFormattedCitation" : "[45]", "previouslyFormattedCitation" : "[45]" }, "properties" : { "noteIndex" : 16 }, "schema" : "https://github.com/citation-style-language/schema/raw/master/csl-citation.json" }</w:instrText>
      </w:r>
      <w:r w:rsidR="00D74432" w:rsidRPr="003F3B0B">
        <w:fldChar w:fldCharType="separate"/>
      </w:r>
      <w:r w:rsidR="00EF5D3F" w:rsidRPr="003F3B0B">
        <w:rPr>
          <w:noProof/>
        </w:rPr>
        <w:t>[45]</w:t>
      </w:r>
      <w:r w:rsidR="00D74432" w:rsidRPr="003F3B0B">
        <w:fldChar w:fldCharType="end"/>
      </w:r>
      <w:r w:rsidRPr="003F3B0B">
        <w:t>, as outlined in</w:t>
      </w:r>
      <w:r w:rsidR="00B956C5" w:rsidRPr="003F3B0B">
        <w:t xml:space="preserve"> </w:t>
      </w:r>
      <w:r w:rsidR="00B956C5" w:rsidRPr="003F3B0B">
        <w:fldChar w:fldCharType="begin"/>
      </w:r>
      <w:r w:rsidR="00B956C5" w:rsidRPr="003F3B0B">
        <w:instrText xml:space="preserve"> REF _Ref11236066 \h </w:instrText>
      </w:r>
      <w:r w:rsidR="00B956C5" w:rsidRPr="003F3B0B">
        <w:fldChar w:fldCharType="separate"/>
      </w:r>
      <w:r w:rsidR="003D1AA2" w:rsidRPr="003F3B0B">
        <w:t xml:space="preserve">Figure </w:t>
      </w:r>
      <w:r w:rsidR="003D1AA2" w:rsidRPr="003F3B0B">
        <w:rPr>
          <w:noProof/>
        </w:rPr>
        <w:t>2</w:t>
      </w:r>
      <w:r w:rsidR="00B956C5" w:rsidRPr="003F3B0B">
        <w:fldChar w:fldCharType="end"/>
      </w:r>
      <w:r w:rsidRPr="003F3B0B">
        <w:t xml:space="preserve">. The total fretting fatigue life can then be calculated </w:t>
      </w:r>
      <w:r w:rsidR="003302CC" w:rsidRPr="003F3B0B">
        <w:t xml:space="preserve">as </w:t>
      </w:r>
      <w:r w:rsidRPr="003F3B0B">
        <w:t xml:space="preserve">the sum of crack initiation and propagation lives. The weight function approach was used for </w:t>
      </w:r>
      <w:r w:rsidR="003A5FCE" w:rsidRPr="003F3B0B">
        <w:t xml:space="preserve">the </w:t>
      </w:r>
      <w:r w:rsidRPr="003F3B0B">
        <w:t xml:space="preserve">PS regime, where it is assumed that wear rate is low and therefore, wear has little </w:t>
      </w:r>
      <w:r w:rsidR="00020CF5" w:rsidRPr="003F3B0B">
        <w:t xml:space="preserve">or </w:t>
      </w:r>
      <w:r w:rsidRPr="003F3B0B">
        <w:t xml:space="preserve">no effect on substrate stresses. Since wear is not explicitly modelled, the contact stress gradient in the nub-groove contact region is expected to reduce up to a depth where constant stress is observed (far from the nub-groove contact surface). In an attempt to capture the effect of fretting stress relaxation due to wear, stress reduction factors have been estimated based </w:t>
      </w:r>
      <w:r w:rsidR="00C459EF" w:rsidRPr="003F3B0B">
        <w:t xml:space="preserve">previously presented stress relaxation trends perpendicular to the contact surface due to wear </w:t>
      </w:r>
      <w:r w:rsidR="00BB6F04" w:rsidRPr="003F3B0B">
        <w:t xml:space="preserve"> </w:t>
      </w:r>
      <w:r w:rsidR="00BB6F04" w:rsidRPr="003F3B0B">
        <w:fldChar w:fldCharType="begin" w:fldLock="1"/>
      </w:r>
      <w:r w:rsidR="00EF5D3F" w:rsidRPr="003F3B0B">
        <w:instrText>ADDIN CSL_CITATION { "citationItems" : [ { "id" : "ITEM-1", "itemData" : { "author" : [ { "dropping-particle" : "", "family" : "O'Halloran", "given" : "Sin\u00e9ad M.", "non-dropping-particle" : "", "parse-names" : false, "suffix" : "" } ], "id" : "ITEM-1", "issued" : { "date-parts" : [ [ "2017" ] ] }, "publisher" : "Ph.D. Thesis, Mechanical Engineering, National University of Ireland Galway", "title" : "Experimental Characterisation , Computational Modelling and Design Tool Development for Fretting Fatigue and Wear in Flexible Marine Risers", "type" : "thesis" }, "uris" : [ "http://www.mendeley.com/documents/?uuid=65192432-607d-4b36-a00e-6c3ecdca3c50" ] } ], "mendeley" : { "formattedCitation" : "[26]", "plainTextFormattedCitation" : "[26]", "previouslyFormattedCitation" : "[26]" }, "properties" : { "noteIndex" : 15 }, "schema" : "https://github.com/citation-style-language/schema/raw/master/csl-citation.json" }</w:instrText>
      </w:r>
      <w:r w:rsidR="00BB6F04" w:rsidRPr="003F3B0B">
        <w:fldChar w:fldCharType="separate"/>
      </w:r>
      <w:r w:rsidR="00EF5D3F" w:rsidRPr="003F3B0B">
        <w:rPr>
          <w:noProof/>
        </w:rPr>
        <w:t>[26]</w:t>
      </w:r>
      <w:r w:rsidR="00BB6F04" w:rsidRPr="003F3B0B">
        <w:fldChar w:fldCharType="end"/>
      </w:r>
      <w:r w:rsidRPr="003F3B0B">
        <w:t>. These estimated stress gradients have been used here to estimate crack propagation in the gross-slip regime.</w:t>
      </w:r>
    </w:p>
    <w:p w14:paraId="655C79CF" w14:textId="7AFD4156" w:rsidR="00B44C2E" w:rsidRPr="003F3B0B" w:rsidRDefault="00B44C2E" w:rsidP="00B44C2E">
      <w:r w:rsidRPr="003F3B0B">
        <w:t>The weight function method used for PS is described below. In fretting experiments, cracks have been observed to grow at a shallow angle initially, typically between 5</w:t>
      </w:r>
      <w:r w:rsidRPr="003F3B0B">
        <w:rPr>
          <w:rFonts w:ascii="Cambria Math" w:hAnsi="Cambria Math" w:cs="Cambria Math"/>
        </w:rPr>
        <w:t>⁰</w:t>
      </w:r>
      <w:r w:rsidRPr="003F3B0B">
        <w:t xml:space="preserve"> and 20</w:t>
      </w:r>
      <w:r w:rsidRPr="003F3B0B">
        <w:rPr>
          <w:rFonts w:ascii="Cambria Math" w:hAnsi="Cambria Math" w:cs="Cambria Math"/>
        </w:rPr>
        <w:t>⁰</w:t>
      </w:r>
      <w:r w:rsidRPr="003F3B0B">
        <w:t xml:space="preserve"> </w:t>
      </w:r>
      <w:r w:rsidRPr="003F3B0B">
        <w:fldChar w:fldCharType="begin" w:fldLock="1"/>
      </w:r>
      <w:r w:rsidR="00EF5D3F" w:rsidRPr="003F3B0B">
        <w:instrText>ADDIN CSL_CITATION { "citationItems" : [ { "id" : "ITEM-1", "itemData" : { "DOI" : "10.1520/STP14746S", "author" : [ { "dropping-particle" : "", "family" : "Dubourg", "given" : "MC", "non-dropping-particle" : "", "parse-names" : false, "suffix" : "" }, { "dropping-particle" : "", "family" : "Lamacq", "given" : "V", "non-dropping-particle" : "", "parse-names" : false, "suffix" : "" } ], "container-title" : "Fretting Fatigue: Current Technology and Practices", "id" : "ITEM-1", "issued" : { "date-parts" : [ [ "2000" ] ] }, "page" : "436-436-15", "publisher" : "ASTM International", "publisher-place" : "West Conshohocken, PA", "title" : "Stage II crack propagation direction determination under fretting fatigue loading: a new approach in accordance with experimental observations", "type" : "chapter" }, "uris" : [ "http://www.mendeley.com/documents/?uuid=8611a904-90e4-376b-992b-3fd795b1c8c7", "http://www.mendeley.com/documents/?uuid=d54f0f6e-3975-4b0b-bc3c-d2be0d75820e" ] } ], "mendeley" : { "formattedCitation" : "[46]", "plainTextFormattedCitation" : "[46]", "previouslyFormattedCitation" : "[46]" }, "properties" : { "noteIndex" : 0 }, "schema" : "https://github.com/citation-style-language/schema/raw/master/csl-citation.json" }</w:instrText>
      </w:r>
      <w:r w:rsidRPr="003F3B0B">
        <w:fldChar w:fldCharType="separate"/>
      </w:r>
      <w:r w:rsidR="00EF5D3F" w:rsidRPr="003F3B0B">
        <w:rPr>
          <w:noProof/>
        </w:rPr>
        <w:t>[46]</w:t>
      </w:r>
      <w:r w:rsidRPr="003F3B0B">
        <w:fldChar w:fldCharType="end"/>
      </w:r>
      <w:r w:rsidRPr="003F3B0B">
        <w:t xml:space="preserve">, </w:t>
      </w:r>
      <w:r w:rsidRPr="003F3B0B">
        <w:lastRenderedPageBreak/>
        <w:t xml:space="preserve">being influenced by the contact load. The crack will grow in this </w:t>
      </w:r>
      <w:r w:rsidRPr="003F3B0B">
        <w:rPr>
          <w:noProof/>
        </w:rPr>
        <w:t>manner</w:t>
      </w:r>
      <w:r w:rsidRPr="003F3B0B">
        <w:t xml:space="preserve"> for up to </w:t>
      </w:r>
      <w:r w:rsidR="003302CC" w:rsidRPr="003F3B0B">
        <w:rPr>
          <w:noProof/>
        </w:rPr>
        <w:t>three</w:t>
      </w:r>
      <w:r w:rsidR="003A5FCE" w:rsidRPr="003F3B0B">
        <w:rPr>
          <w:noProof/>
        </w:rPr>
        <w:t xml:space="preserve"> </w:t>
      </w:r>
      <w:r w:rsidR="003302CC" w:rsidRPr="003F3B0B">
        <w:rPr>
          <w:noProof/>
        </w:rPr>
        <w:t xml:space="preserve">microstructural </w:t>
      </w:r>
      <w:r w:rsidRPr="003F3B0B">
        <w:rPr>
          <w:noProof/>
        </w:rPr>
        <w:t>grain</w:t>
      </w:r>
      <w:r w:rsidRPr="003F3B0B">
        <w:t xml:space="preserve"> sizes </w:t>
      </w:r>
      <w:r w:rsidRPr="003F3B0B">
        <w:fldChar w:fldCharType="begin" w:fldLock="1"/>
      </w:r>
      <w:r w:rsidR="00EF5D3F" w:rsidRPr="003F3B0B">
        <w:instrText>ADDIN CSL_CITATION { "citationItems" : [ { "id" : "ITEM-1", "itemData" : { "DOI" : "10.1007/s11223-010-9256-7", "ISSN" : "00392316", "abstract" : "Using the analysis of state-of-the-art techniques of fretting fatigue studies and results of description of multi-stage fatigue crack propagation in fretting zone within fracture mechanics framework, we have refined the calculation-and-experimental technique earlier proposed by the author. This technique allows one to predict current values of the angle and rate of inclined crack propagation in the subsurface layers of material under fretting conditions using calculated stress intensity factors K I and K II for contact and bulk loads, as well as experimental crack resistance diagrams by K I and/or K II types. We have performed comparative analysis of various techniques for construction of crack resistance diagrams by K I and K II types and obtained the results for AMg6N and Al 7075-T6 aluminum alloys and VT9 titanium alloy. It is shown that the initial stage of crack propagation in the above alloys can occur in the maximal shear stress plane by shear mechanism or in the maximal tensile stress plane by cleavage mechanism according to the Otsuka two-parameter criterion or to the Richard empirical criterion. \u00a9 2010 Springer Science + Business Media, Inc.", "author" : [ { "dropping-particle" : "", "family" : "Khotsyanovskii", "given" : "A. O.", "non-dropping-particle" : "", "parse-names" : false, "suffix" : "" } ], "container-title" : "Strength of Materials", "id" : "ITEM-1", "issue" : "6", "issued" : { "date-parts" : [ [ "2010" ] ] }, "page" : "683-704", "title" : "Life prediction of titanium and aluminum alloys under fretting fatigue conditions using various crack propagation criteria. Part 1. Experimental and calculation techniques", "type" : "article-journal", "volume" : "42" }, "uris" : [ "http://www.mendeley.com/documents/?uuid=deede3a4-a240-3b4e-8bb9-6b93eb31f708", "http://www.mendeley.com/documents/?uuid=57f9bb24-0a19-4889-b11d-508c807bacb6" ] } ], "mendeley" : { "formattedCitation" : "[47]", "plainTextFormattedCitation" : "[47]", "previouslyFormattedCitation" : "[47]" }, "properties" : { "noteIndex" : 0 }, "schema" : "https://github.com/citation-style-language/schema/raw/master/csl-citation.json" }</w:instrText>
      </w:r>
      <w:r w:rsidRPr="003F3B0B">
        <w:fldChar w:fldCharType="separate"/>
      </w:r>
      <w:r w:rsidR="00EF5D3F" w:rsidRPr="003F3B0B">
        <w:rPr>
          <w:noProof/>
        </w:rPr>
        <w:t>[47]</w:t>
      </w:r>
      <w:r w:rsidRPr="003F3B0B">
        <w:fldChar w:fldCharType="end"/>
      </w:r>
      <w:r w:rsidRPr="003F3B0B">
        <w:t>. Next the direction of the crack propagation changes to approximately perpendicular to the contact surface; here the propagation direction is influenced by the bulk stress in the pressure armour wire</w:t>
      </w:r>
      <w:r w:rsidR="003A5FCE" w:rsidRPr="003F3B0B">
        <w:t xml:space="preserve"> </w:t>
      </w:r>
      <w:r w:rsidR="003A5FCE" w:rsidRPr="003F3B0B">
        <w:fldChar w:fldCharType="begin" w:fldLock="1"/>
      </w:r>
      <w:r w:rsidR="00EF5D3F" w:rsidRPr="003F3B0B">
        <w:instrText>ADDIN CSL_CITATION { "citationItems" : [ { "id" : "ITEM-1", "itemData" : { "author" : [ { "dropping-particle" : "", "family" : "O'Halloran", "given" : "Sin\u00e9ad M.", "non-dropping-particle" : "", "parse-names" : false, "suffix" : "" } ], "id" : "ITEM-1", "issued" : { "date-parts" : [ [ "2017" ] ] }, "publisher" : "Ph.D. Thesis, Mechanical Engineering, National University of Ireland Galway", "title" : "Experimental Characterisation , Computational Modelling and Design Tool Development for Fretting Fatigue and Wear in Flexible Marine Risers", "type" : "thesis" }, "uris" : [ "http://www.mendeley.com/documents/?uuid=65192432-607d-4b36-a00e-6c3ecdca3c50" ] } ], "mendeley" : { "formattedCitation" : "[26]", "plainTextFormattedCitation" : "[26]", "previouslyFormattedCitation" : "[26]" }, "properties" : { "noteIndex" : 17 }, "schema" : "https://github.com/citation-style-language/schema/raw/master/csl-citation.json" }</w:instrText>
      </w:r>
      <w:r w:rsidR="003A5FCE" w:rsidRPr="003F3B0B">
        <w:fldChar w:fldCharType="separate"/>
      </w:r>
      <w:r w:rsidR="00EF5D3F" w:rsidRPr="003F3B0B">
        <w:rPr>
          <w:noProof/>
        </w:rPr>
        <w:t>[26]</w:t>
      </w:r>
      <w:r w:rsidR="003A5FCE" w:rsidRPr="003F3B0B">
        <w:fldChar w:fldCharType="end"/>
      </w:r>
      <w:r w:rsidRPr="003F3B0B">
        <w:t xml:space="preserve">. </w:t>
      </w:r>
    </w:p>
    <w:p w14:paraId="27B9D4A4" w14:textId="639D1171" w:rsidR="00B44C2E" w:rsidRPr="003F3B0B" w:rsidRDefault="00B44C2E" w:rsidP="00B44C2E">
      <w:r w:rsidRPr="003F3B0B">
        <w:t>Due to stress gradients close to the contact surface in fretting, crack propagat</w:t>
      </w:r>
      <w:r w:rsidR="003302CC" w:rsidRPr="003F3B0B">
        <w:t>ion</w:t>
      </w:r>
      <w:r w:rsidRPr="003F3B0B">
        <w:t xml:space="preserve"> is a complex issue </w:t>
      </w:r>
      <w:r w:rsidRPr="003F3B0B">
        <w:fldChar w:fldCharType="begin" w:fldLock="1"/>
      </w:r>
      <w:r w:rsidR="00EF5D3F" w:rsidRPr="003F3B0B">
        <w:instrText>ADDIN CSL_CITATION { "citationItems" : [ { "id" : "ITEM-1", "itemData" : { "DOI" : "10.1016/j.wear.2013.05.012", "ISSN" : "00431648", "abstract" : "This paper is concerned with the development of a micro-mechanical methodology for prediction of fretting fatigue crack nucleation life and short crack propagation. The methodology employs critical accumulated plastic slip as a fatigue indicator parameter for microstructure-sensitive crack nucleation. Crystal plasticity unit-cell models are employed for calibration of constitutive and crack nucleation parameters and a crystal plasticity frictional contact model of the fretting test rig is developed to predict the micro-scale surface fretting damage, crack nucleation and estimated micro-crack propagation. The methodology is validated against fretting fatigue tests using a fretting bridge arrangement for 316L stainless steel.", "author" : [ { "dropping-particle" : "", "family" : "McCarthy", "given" : "O J", "non-dropping-particle" : "", "parse-names" : false, "suffix" : "" }, { "dropping-particle" : "", "family" : "McGarry", "given" : "J P", "non-dropping-particle" : "", "parse-names" : false, "suffix" : "" }, { "dropping-particle" : "", "family" : "Leen", "given" : "S B", "non-dropping-particle" : "", "parse-names" : false, "suffix" : "" } ], "container-title" : "Wear", "id" : "ITEM-1", "issue" : "1", "issued" : { "date-parts" : [ [ "2013" ] ] }, "page" : "100-114", "publisher" : "Elsevier", "title" : "Microstructure-sensitive prediction and experimental validation of fretting fatigue", "type" : "article-journal", "volume" : "305" }, "uris" : [ "http://www.mendeley.com/documents/?uuid=17c13f2c-4915-4870-9e3f-ee7b8c077728" ] } ], "mendeley" : { "formattedCitation" : "[48]", "plainTextFormattedCitation" : "[48]", "previouslyFormattedCitation" : "[48]" }, "properties" : { "noteIndex" : 0 }, "schema" : "https://github.com/citation-style-language/schema/raw/master/csl-citation.json" }</w:instrText>
      </w:r>
      <w:r w:rsidRPr="003F3B0B">
        <w:fldChar w:fldCharType="separate"/>
      </w:r>
      <w:r w:rsidR="00EF5D3F" w:rsidRPr="003F3B0B">
        <w:rPr>
          <w:noProof/>
        </w:rPr>
        <w:t>[48]</w:t>
      </w:r>
      <w:r w:rsidRPr="003F3B0B">
        <w:fldChar w:fldCharType="end"/>
      </w:r>
      <w:r w:rsidRPr="003F3B0B">
        <w:t xml:space="preserve">. Houghton et al. </w:t>
      </w:r>
      <w:r w:rsidR="00DF0389" w:rsidRPr="003F3B0B">
        <w:fldChar w:fldCharType="begin" w:fldLock="1"/>
      </w:r>
      <w:r w:rsidR="00EF5D3F" w:rsidRPr="003F3B0B">
        <w:instrText>ADDIN CSL_CITATION { "citationItems" : [ { "id" : "ITEM-1", "itemData" : { "DOI" : "10.1016/j.ijfatigue.2008.12.005", "ISBN" : "0142-1123", "ISSN" : "01421123", "abstract" : "This paper presents a combined experimental and computational methodology for fretting fatigue life prediction of aeroengine splined couplings under combined loading cycles involving cyclic torque and axial load, as well as rotating bending and fluctuating torque. The experimental method is based on the concept of a simplified representative test, which mimics the multiaxial fretting conditions between spline teeth via biaxial loading of specially-designed bridge pads and a fatigue specimen. The numerical method is based on a three-dimensional finite element model of the test rig assembly, including frictional contact effects, along with a multiaxial, critical-plane fatigue parameter for crack nucleation followed by crack growth prediction in the Paris regime using El Haddad small crack correction. The prediction methodology is shown to successfully capture the effect of the key fretting fatigue stress, which mimics the spline rotating bending moment, on total fatigue life.", "author" : [ { "dropping-particle" : "", "family" : "Houghton", "given" : "D", "non-dropping-particle" : "", "parse-names" : false, "suffix" : "" }, { "dropping-particle" : "", "family" : "Wavish", "given" : "P M", "non-dropping-particle" : "", "parse-names" : false, "suffix" : "" }, { "dropping-particle" : "", "family" : "Williams", "given" : "E J", "non-dropping-particle" : "", "parse-names" : false, "suffix" : "" }, { "dropping-particle" : "", "family" : "Leen", "given" : "S B", "non-dropping-particle" : "", "parse-names" : false, "suffix" : "" } ], "container-title" : "International Journal of Fatigue", "id" : "ITEM-1", "issue" : "11\u201312", "issued" : { "date-parts" : [ [ "2009" ] ] }, "page" : "1805-1815", "publisher" : "Elsevier Ltd", "title" : "Multiaxial fretting fatigue testing and prediction for splined couplings", "type" : "article-journal", "volume" : "31" }, "uris" : [ "http://www.mendeley.com/documents/?uuid=318c3f72-df99-48f4-904f-8883818bef0b" ] } ], "mendeley" : { "formattedCitation" : "[45]", "plainTextFormattedCitation" : "[45]", "previouslyFormattedCitation" : "[45]" }, "properties" : { "noteIndex" : 16 }, "schema" : "https://github.com/citation-style-language/schema/raw/master/csl-citation.json" }</w:instrText>
      </w:r>
      <w:r w:rsidR="00DF0389" w:rsidRPr="003F3B0B">
        <w:fldChar w:fldCharType="separate"/>
      </w:r>
      <w:r w:rsidR="00EF5D3F" w:rsidRPr="003F3B0B">
        <w:rPr>
          <w:noProof/>
        </w:rPr>
        <w:t>[45]</w:t>
      </w:r>
      <w:r w:rsidR="00DF0389" w:rsidRPr="003F3B0B">
        <w:fldChar w:fldCharType="end"/>
      </w:r>
      <w:r w:rsidR="00DF0389" w:rsidRPr="003F3B0B">
        <w:t xml:space="preserve"> </w:t>
      </w:r>
      <w:r w:rsidRPr="003F3B0B">
        <w:t xml:space="preserve">used weight functions based on the work of Nicholas et al. </w:t>
      </w:r>
      <w:r w:rsidR="00DF0389" w:rsidRPr="003F3B0B">
        <w:fldChar w:fldCharType="begin" w:fldLock="1"/>
      </w:r>
      <w:r w:rsidR="00EF5D3F" w:rsidRPr="003F3B0B">
        <w:instrText>ADDIN CSL_CITATION { "citationItems" : [ { "id" : "ITEM-1", "itemData" : { "DOI" : "10.1016/S0142-1123(03)00115-4", "ISSN" : "01421123", "abstract" : "A fracture mechanics methodology was evaluated for a fretting fatigue geometry in which one end of a specimen clamped between fretting pads was loaded in axial fatigue. In previous work, results from experiments on Ti-6Al-4V pads and specimens were evaluated using finite element analyses where stress intensity factors were calculated assuming a single-edge tension, Mode I crack to form. In the present work, mixed-mode behavior was considered and a more realistic crack geometry was incorporated. KI and K II were calculated from stress fields determined from the finite element analysis using a weight function method and assuming a single-edge Mode I/Mode II inclined crack. A correction was then applied based on empirical crack aspect ratio data. KI and KII were analyzed for several experimentally determined combinations of contact pad geometry, specimen thickness, and loading conditions used to obtain a range of normal and shear forces, each corresponding to a fatigue life of 107 cycles. The fracture mechanics methodology was used to determine the conditions for propagation or non-propagation of cracks that initiate in the edge of contact region based on a mixed-mode driving force and a short crack corrected threshold. The coefficient of friction was also varied in the analyses. The fracture mechanics approach appears to be a better method for determining the threshold for fretting fatigue than a stress analysis because thresholds for K are better known than criteria for crack initiation in a gradient stress field. ?? 2003 Elsevier Ltd. All rights reserved.", "author" : [ { "dropping-particle" : "", "family" : "Nicholas", "given" : "T.", "non-dropping-particle" : "", "parse-names" : false, "suffix" : "" }, { "dropping-particle" : "", "family" : "Hutson", "given" : "A.", "non-dropping-particle" : "", "parse-names" : false, "suffix" : "" }, { "dropping-particle" : "", "family" : "John", "given" : "R.", "non-dropping-particle" : "", "parse-names" : false, "suffix" : "" }, { "dropping-particle" : "", "family" : "Olson", "given" : "S.", "non-dropping-particle" : "", "parse-names" : false, "suffix" : "" } ], "container-title" : "International Journal of Fatigue", "id" : "ITEM-1", "issue" : "9-11", "issued" : { "date-parts" : [ [ "2003" ] ] }, "page" : "1069-1077", "title" : "A fracture mechanics methodology assessment for fretting fatigue", "type" : "article-journal", "volume" : "25" }, "uris" : [ "http://www.mendeley.com/documents/?uuid=3a63a70e-3b0d-46ef-bd83-027ac7edacc7" ] } ], "mendeley" : { "formattedCitation" : "[49]", "plainTextFormattedCitation" : "[49]", "previouslyFormattedCitation" : "[49]" }, "properties" : { "noteIndex" : 16 }, "schema" : "https://github.com/citation-style-language/schema/raw/master/csl-citation.json" }</w:instrText>
      </w:r>
      <w:r w:rsidR="00DF0389" w:rsidRPr="003F3B0B">
        <w:fldChar w:fldCharType="separate"/>
      </w:r>
      <w:r w:rsidR="00EF5D3F" w:rsidRPr="003F3B0B">
        <w:rPr>
          <w:noProof/>
        </w:rPr>
        <w:t>[49]</w:t>
      </w:r>
      <w:r w:rsidR="00DF0389" w:rsidRPr="003F3B0B">
        <w:fldChar w:fldCharType="end"/>
      </w:r>
      <w:r w:rsidRPr="003F3B0B">
        <w:t xml:space="preserve"> to analyse the mixed</w:t>
      </w:r>
      <w:r w:rsidR="003302CC" w:rsidRPr="003F3B0B">
        <w:t>-</w:t>
      </w:r>
      <w:r w:rsidRPr="003F3B0B">
        <w:t xml:space="preserve">mode cracking of Ti-6Al-4V to predict multiaxial fretting fatigue. Crack location was found from SWT critical plane calculations, </w:t>
      </w:r>
      <w:r w:rsidR="003A5FCE" w:rsidRPr="003F3B0B">
        <w:t>and</w:t>
      </w:r>
      <w:r w:rsidRPr="003F3B0B">
        <w:t xml:space="preserve"> local stress ranges were identified for Mode I and Mode II crack propagation. The weight functions, </w:t>
      </w:r>
      <w:proofErr w:type="spellStart"/>
      <w:r w:rsidRPr="003F3B0B">
        <w:rPr>
          <w:i/>
        </w:rPr>
        <w:t>h</w:t>
      </w:r>
      <w:r w:rsidRPr="003F3B0B">
        <w:rPr>
          <w:vertAlign w:val="subscript"/>
        </w:rPr>
        <w:t>I</w:t>
      </w:r>
      <w:proofErr w:type="spellEnd"/>
      <w:r w:rsidRPr="003F3B0B">
        <w:t xml:space="preserve"> and </w:t>
      </w:r>
      <w:proofErr w:type="spellStart"/>
      <w:r w:rsidRPr="003F3B0B">
        <w:rPr>
          <w:i/>
        </w:rPr>
        <w:t>h</w:t>
      </w:r>
      <w:r w:rsidRPr="003F3B0B">
        <w:rPr>
          <w:vertAlign w:val="subscript"/>
        </w:rPr>
        <w:t>II</w:t>
      </w:r>
      <w:proofErr w:type="spellEnd"/>
      <w:r w:rsidRPr="003F3B0B">
        <w:t xml:space="preserve">, for Mode I and Mode II crack growth, respectively, are defined as </w:t>
      </w:r>
      <w:r w:rsidRPr="003F3B0B">
        <w:fldChar w:fldCharType="begin" w:fldLock="1"/>
      </w:r>
      <w:r w:rsidR="00EF5D3F" w:rsidRPr="003F3B0B">
        <w:instrText>ADDIN CSL_CITATION { "citationItems" : [ { "id" : "ITEM-1", "itemData" : { "ISBN" : "1853124974", "abstract" : "In this book the authors describe methods for the calculation of weight functions. In the first part they discuss the accuracy and convergence behaviour of methods for one- and two-dimensional cracks, while in the second part they provide solutions for cracks subjected to mode-I and mode-II loading.", "author" : [ { "dropping-particle" : "", "family" : "Fett", "given" : "Theo", "non-dropping-particle" : "", "parse-names" : false, "suffix" : "" }, { "dropping-particle" : "", "family" : "Munz", "given" : "Dietrich", "non-dropping-particle" : "", "parse-names" : false, "suffix" : "" } ], "id" : "ITEM-1", "issued" : { "date-parts" : [ [ "1997" ] ] }, "number-of-pages" : "385", "publisher" : "Computational Mechanics Publications, Southhampton", "title" : "Stress intensity factors and weight functions", "type" : "book" }, "uris" : [ "http://www.mendeley.com/documents/?uuid=87bb764a-d305-358d-b3dc-43b1c692fa92", "http://www.mendeley.com/documents/?uuid=ecc673cb-0c8c-4a73-82dd-82bcfdd77391" ] } ], "mendeley" : { "formattedCitation" : "[50]", "plainTextFormattedCitation" : "[50]", "previouslyFormattedCitation" : "[50]" }, "properties" : { "noteIndex" : 0 }, "schema" : "https://github.com/citation-style-language/schema/raw/master/csl-citation.json" }</w:instrText>
      </w:r>
      <w:r w:rsidRPr="003F3B0B">
        <w:fldChar w:fldCharType="separate"/>
      </w:r>
      <w:r w:rsidR="00EF5D3F" w:rsidRPr="003F3B0B">
        <w:rPr>
          <w:noProof/>
        </w:rPr>
        <w:t>[50]</w:t>
      </w:r>
      <w:r w:rsidRPr="003F3B0B">
        <w:fldChar w:fldCharType="end"/>
      </w:r>
      <w:r w:rsidRPr="003F3B0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708"/>
      </w:tblGrid>
      <w:tr w:rsidR="003F3B0B" w:rsidRPr="003F3B0B" w14:paraId="2116B16B" w14:textId="77777777" w:rsidTr="00327B40">
        <w:tc>
          <w:tcPr>
            <w:tcW w:w="8472" w:type="dxa"/>
            <w:vAlign w:val="center"/>
          </w:tcPr>
          <w:p w14:paraId="1F1F5446" w14:textId="1D347AF7" w:rsidR="00B44C2E" w:rsidRPr="003F3B0B" w:rsidRDefault="00C47C78" w:rsidP="00B44C2E">
            <w:pPr>
              <w:jc w:val="center"/>
              <w:rPr>
                <w:rFonts w:eastAsiaTheme="minorEastAsia"/>
              </w:rPr>
            </w:pPr>
            <w:r w:rsidRPr="003F3B0B">
              <w:rPr>
                <w:noProof/>
                <w:position w:val="-42"/>
                <w:lang w:eastAsia="en-IE"/>
              </w:rPr>
              <w:drawing>
                <wp:inline distT="0" distB="0" distL="0" distR="0" wp14:anchorId="7F4E0C63" wp14:editId="7D2F5DF5">
                  <wp:extent cx="2647950" cy="619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7950" cy="619125"/>
                          </a:xfrm>
                          <a:prstGeom prst="rect">
                            <a:avLst/>
                          </a:prstGeom>
                          <a:noFill/>
                          <a:ln>
                            <a:noFill/>
                          </a:ln>
                        </pic:spPr>
                      </pic:pic>
                    </a:graphicData>
                  </a:graphic>
                </wp:inline>
              </w:drawing>
            </w:r>
          </w:p>
        </w:tc>
        <w:tc>
          <w:tcPr>
            <w:tcW w:w="708" w:type="dxa"/>
            <w:vAlign w:val="center"/>
          </w:tcPr>
          <w:p w14:paraId="0FF0B9DB" w14:textId="77777777" w:rsidR="00B44C2E" w:rsidRPr="003F3B0B" w:rsidRDefault="003D3FD0" w:rsidP="00B44C2E">
            <w:pPr>
              <w:pStyle w:val="Caption"/>
              <w:spacing w:after="0"/>
              <w:jc w:val="right"/>
              <w:rPr>
                <w:rFonts w:ascii="Calibri" w:hAnsi="Calibri"/>
              </w:rPr>
            </w:pPr>
            <w:r w:rsidRPr="003F3B0B">
              <w:t>(</w:t>
            </w:r>
            <w:fldSimple w:instr=" SEQ 7. \* ARABIC ">
              <w:r w:rsidR="003D1AA2" w:rsidRPr="003F3B0B">
                <w:rPr>
                  <w:noProof/>
                </w:rPr>
                <w:t>9</w:t>
              </w:r>
            </w:fldSimple>
            <w:r w:rsidR="00B44C2E" w:rsidRPr="003F3B0B">
              <w:t>)</w:t>
            </w:r>
          </w:p>
        </w:tc>
      </w:tr>
      <w:tr w:rsidR="003F3B0B" w:rsidRPr="003F3B0B" w14:paraId="0318DE9D" w14:textId="77777777" w:rsidTr="00327B40">
        <w:tc>
          <w:tcPr>
            <w:tcW w:w="8472" w:type="dxa"/>
            <w:vAlign w:val="center"/>
          </w:tcPr>
          <w:p w14:paraId="7EA12BCF" w14:textId="6832540C" w:rsidR="00B44C2E" w:rsidRPr="003F3B0B" w:rsidRDefault="00C47C78" w:rsidP="00B44C2E">
            <w:pPr>
              <w:jc w:val="center"/>
            </w:pPr>
            <w:r w:rsidRPr="003F3B0B">
              <w:rPr>
                <w:noProof/>
                <w:position w:val="-42"/>
                <w:lang w:eastAsia="en-IE"/>
              </w:rPr>
              <w:drawing>
                <wp:inline distT="0" distB="0" distL="0" distR="0" wp14:anchorId="5B2E5AFA" wp14:editId="01B3C251">
                  <wp:extent cx="3581400" cy="6191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81400" cy="619125"/>
                          </a:xfrm>
                          <a:prstGeom prst="rect">
                            <a:avLst/>
                          </a:prstGeom>
                          <a:noFill/>
                          <a:ln>
                            <a:noFill/>
                          </a:ln>
                        </pic:spPr>
                      </pic:pic>
                    </a:graphicData>
                  </a:graphic>
                </wp:inline>
              </w:drawing>
            </w:r>
          </w:p>
        </w:tc>
        <w:tc>
          <w:tcPr>
            <w:tcW w:w="708" w:type="dxa"/>
            <w:vAlign w:val="center"/>
          </w:tcPr>
          <w:p w14:paraId="081AB185" w14:textId="77777777" w:rsidR="00B44C2E" w:rsidRPr="003F3B0B" w:rsidRDefault="003D3FD0" w:rsidP="00B44C2E">
            <w:pPr>
              <w:pStyle w:val="Caption"/>
              <w:spacing w:after="0"/>
              <w:jc w:val="right"/>
              <w:rPr>
                <w:rFonts w:ascii="Calibri" w:hAnsi="Calibri"/>
              </w:rPr>
            </w:pPr>
            <w:r w:rsidRPr="003F3B0B">
              <w:t>(</w:t>
            </w:r>
            <w:fldSimple w:instr=" SEQ 7. \* ARABIC ">
              <w:r w:rsidR="003D1AA2" w:rsidRPr="003F3B0B">
                <w:rPr>
                  <w:noProof/>
                </w:rPr>
                <w:t>10</w:t>
              </w:r>
            </w:fldSimple>
            <w:r w:rsidR="00B44C2E" w:rsidRPr="003F3B0B">
              <w:t>)</w:t>
            </w:r>
          </w:p>
        </w:tc>
      </w:tr>
    </w:tbl>
    <w:p w14:paraId="6C20CF5A" w14:textId="1B50FCA2" w:rsidR="00B44C2E" w:rsidRPr="003F3B0B" w:rsidRDefault="00B44C2E" w:rsidP="00B44C2E">
      <w:r w:rsidRPr="003F3B0B">
        <w:t xml:space="preserve">where </w:t>
      </w:r>
      <w:r w:rsidRPr="003F3B0B">
        <w:rPr>
          <w:rFonts w:cs="Times New Roman"/>
          <w:i/>
        </w:rPr>
        <w:t>ρ</w:t>
      </w:r>
      <w:r w:rsidRPr="003F3B0B">
        <w:rPr>
          <w:rFonts w:cs="Times New Roman"/>
        </w:rPr>
        <w:t xml:space="preserve"> </w:t>
      </w:r>
      <w:r w:rsidRPr="003F3B0B">
        <w:t>=</w:t>
      </w:r>
      <w:r w:rsidRPr="003F3B0B">
        <w:rPr>
          <w:i/>
        </w:rPr>
        <w:t xml:space="preserve"> x</w:t>
      </w:r>
      <w:r w:rsidRPr="003F3B0B">
        <w:t>/</w:t>
      </w:r>
      <w:r w:rsidRPr="003F3B0B">
        <w:rPr>
          <w:i/>
        </w:rPr>
        <w:t>a</w:t>
      </w:r>
      <w:r w:rsidRPr="003F3B0B">
        <w:t xml:space="preserve"> and </w:t>
      </w:r>
      <w:r w:rsidRPr="003F3B0B">
        <w:rPr>
          <w:rFonts w:cs="Times New Roman"/>
          <w:i/>
        </w:rPr>
        <w:t>α</w:t>
      </w:r>
      <w:r w:rsidRPr="003F3B0B">
        <w:rPr>
          <w:i/>
        </w:rPr>
        <w:t xml:space="preserve"> </w:t>
      </w:r>
      <w:r w:rsidRPr="003F3B0B">
        <w:t xml:space="preserve">= </w:t>
      </w:r>
      <w:r w:rsidRPr="003F3B0B">
        <w:rPr>
          <w:i/>
        </w:rPr>
        <w:t>a</w:t>
      </w:r>
      <w:r w:rsidRPr="003F3B0B">
        <w:t>/</w:t>
      </w:r>
      <w:r w:rsidRPr="003F3B0B">
        <w:rPr>
          <w:i/>
        </w:rPr>
        <w:t xml:space="preserve">W, </w:t>
      </w:r>
      <w:r w:rsidRPr="003F3B0B">
        <w:t>a</w:t>
      </w:r>
      <w:r w:rsidRPr="003F3B0B">
        <w:rPr>
          <w:i/>
        </w:rPr>
        <w:t xml:space="preserve"> </w:t>
      </w:r>
      <w:r w:rsidRPr="003F3B0B">
        <w:t xml:space="preserve">is the crack length, </w:t>
      </w:r>
      <w:r w:rsidRPr="003F3B0B">
        <w:rPr>
          <w:i/>
        </w:rPr>
        <w:t>x</w:t>
      </w:r>
      <w:r w:rsidRPr="003F3B0B">
        <w:t xml:space="preserve"> is the distance along the crack, </w:t>
      </w:r>
      <w:r w:rsidRPr="003F3B0B">
        <w:rPr>
          <w:i/>
        </w:rPr>
        <w:t>W</w:t>
      </w:r>
      <w:r w:rsidRPr="003F3B0B">
        <w:t xml:space="preserve"> is the specimen width and </w:t>
      </w:r>
      <w:proofErr w:type="spellStart"/>
      <w:r w:rsidRPr="003F3B0B">
        <w:rPr>
          <w:i/>
        </w:rPr>
        <w:t>A</w:t>
      </w:r>
      <w:r w:rsidRPr="003F3B0B">
        <w:rPr>
          <w:rFonts w:cs="Times New Roman"/>
          <w:vertAlign w:val="subscript"/>
        </w:rPr>
        <w:t>υ</w:t>
      </w:r>
      <w:r w:rsidR="003302CC" w:rsidRPr="003F3B0B">
        <w:rPr>
          <w:rFonts w:cs="Times New Roman"/>
          <w:vertAlign w:val="subscript"/>
        </w:rPr>
        <w:t>,</w:t>
      </w:r>
      <w:r w:rsidRPr="003F3B0B">
        <w:rPr>
          <w:rFonts w:cs="Times New Roman"/>
          <w:vertAlign w:val="subscript"/>
        </w:rPr>
        <w:t>μ</w:t>
      </w:r>
      <w:proofErr w:type="spellEnd"/>
      <w:r w:rsidRPr="003F3B0B">
        <w:t xml:space="preserve"> </w:t>
      </w:r>
      <w:r w:rsidRPr="003F3B0B">
        <w:rPr>
          <w:noProof/>
        </w:rPr>
        <w:t>is</w:t>
      </w:r>
      <w:r w:rsidRPr="003F3B0B">
        <w:t xml:space="preserve"> the influence coefficient for each weight coefficient </w:t>
      </w:r>
      <w:r w:rsidRPr="003F3B0B">
        <w:fldChar w:fldCharType="begin" w:fldLock="1"/>
      </w:r>
      <w:r w:rsidR="00EF5D3F" w:rsidRPr="003F3B0B">
        <w:instrText>ADDIN CSL_CITATION { "citationItems" : [ { "id" : "ITEM-1", "itemData" : { "ISBN" : "1853124974", "abstract" : "In this book the authors describe methods for the calculation of weight functions. In the first part they discuss the accuracy and convergence behaviour of methods for one- and two-dimensional cracks, while in the second part they provide solutions for cracks subjected to mode-I and mode-II loading.", "author" : [ { "dropping-particle" : "", "family" : "Fett", "given" : "Theo", "non-dropping-particle" : "", "parse-names" : false, "suffix" : "" }, { "dropping-particle" : "", "family" : "Munz", "given" : "Dietrich", "non-dropping-particle" : "", "parse-names" : false, "suffix" : "" } ], "id" : "ITEM-1", "issued" : { "date-parts" : [ [ "1997" ] ] }, "number-of-pages" : "385", "publisher" : "Computational Mechanics Publications, Southhampton", "title" : "Stress intensity factors and weight functions", "type" : "book" }, "uris" : [ "http://www.mendeley.com/documents/?uuid=ecc673cb-0c8c-4a73-82dd-82bcfdd77391", "http://www.mendeley.com/documents/?uuid=87bb764a-d305-358d-b3dc-43b1c692fa92" ] } ], "mendeley" : { "formattedCitation" : "[50]", "plainTextFormattedCitation" : "[50]", "previouslyFormattedCitation" : "[50]" }, "properties" : { "noteIndex" : 0 }, "schema" : "https://github.com/citation-style-language/schema/raw/master/csl-citation.json" }</w:instrText>
      </w:r>
      <w:r w:rsidRPr="003F3B0B">
        <w:fldChar w:fldCharType="separate"/>
      </w:r>
      <w:r w:rsidR="00EF5D3F" w:rsidRPr="003F3B0B">
        <w:rPr>
          <w:noProof/>
        </w:rPr>
        <w:t>[50]</w:t>
      </w:r>
      <w:r w:rsidRPr="003F3B0B">
        <w:fldChar w:fldCharType="end"/>
      </w:r>
      <w:r w:rsidRPr="003F3B0B">
        <w:t>. Mode I and Mode II stress intensity factors are defined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992"/>
      </w:tblGrid>
      <w:tr w:rsidR="003F3B0B" w:rsidRPr="003F3B0B" w14:paraId="625FB005" w14:textId="77777777" w:rsidTr="00327B40">
        <w:tc>
          <w:tcPr>
            <w:tcW w:w="8188" w:type="dxa"/>
            <w:vAlign w:val="center"/>
          </w:tcPr>
          <w:p w14:paraId="41BF90E1" w14:textId="04A3C68D" w:rsidR="00B44C2E" w:rsidRPr="003F3B0B" w:rsidRDefault="00C47C78" w:rsidP="00B44C2E">
            <w:pPr>
              <w:jc w:val="center"/>
              <w:rPr>
                <w:rFonts w:eastAsiaTheme="minorEastAsia"/>
              </w:rPr>
            </w:pPr>
            <w:r w:rsidRPr="003F3B0B">
              <w:rPr>
                <w:noProof/>
                <w:position w:val="-18"/>
                <w:lang w:eastAsia="en-IE"/>
              </w:rPr>
              <w:drawing>
                <wp:inline distT="0" distB="0" distL="0" distR="0" wp14:anchorId="3E593006" wp14:editId="5DB50593">
                  <wp:extent cx="1752600" cy="381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2600" cy="381000"/>
                          </a:xfrm>
                          <a:prstGeom prst="rect">
                            <a:avLst/>
                          </a:prstGeom>
                          <a:noFill/>
                          <a:ln>
                            <a:noFill/>
                          </a:ln>
                        </pic:spPr>
                      </pic:pic>
                    </a:graphicData>
                  </a:graphic>
                </wp:inline>
              </w:drawing>
            </w:r>
          </w:p>
        </w:tc>
        <w:tc>
          <w:tcPr>
            <w:tcW w:w="992" w:type="dxa"/>
            <w:vAlign w:val="center"/>
          </w:tcPr>
          <w:p w14:paraId="6D25E8C5" w14:textId="77777777" w:rsidR="00B44C2E" w:rsidRPr="003F3B0B" w:rsidRDefault="003D3FD0" w:rsidP="00B44C2E">
            <w:pPr>
              <w:pStyle w:val="Caption"/>
              <w:spacing w:after="0"/>
              <w:jc w:val="right"/>
              <w:rPr>
                <w:rFonts w:ascii="Calibri" w:hAnsi="Calibri"/>
              </w:rPr>
            </w:pPr>
            <w:r w:rsidRPr="003F3B0B">
              <w:t>(</w:t>
            </w:r>
            <w:fldSimple w:instr=" SEQ 7. \* ARABIC ">
              <w:r w:rsidR="003D1AA2" w:rsidRPr="003F3B0B">
                <w:rPr>
                  <w:noProof/>
                </w:rPr>
                <w:t>11</w:t>
              </w:r>
            </w:fldSimple>
            <w:r w:rsidR="00B44C2E" w:rsidRPr="003F3B0B">
              <w:t>)</w:t>
            </w:r>
          </w:p>
        </w:tc>
      </w:tr>
      <w:tr w:rsidR="003F3B0B" w:rsidRPr="003F3B0B" w14:paraId="2F619BBB" w14:textId="77777777" w:rsidTr="00327B40">
        <w:tc>
          <w:tcPr>
            <w:tcW w:w="8188" w:type="dxa"/>
            <w:vAlign w:val="center"/>
          </w:tcPr>
          <w:p w14:paraId="0BF0A3BC" w14:textId="7FBCE440" w:rsidR="00B44C2E" w:rsidRPr="003F3B0B" w:rsidRDefault="00C47C78" w:rsidP="00B44C2E">
            <w:pPr>
              <w:jc w:val="center"/>
            </w:pPr>
            <w:r w:rsidRPr="003F3B0B">
              <w:rPr>
                <w:noProof/>
                <w:position w:val="-18"/>
                <w:lang w:eastAsia="en-IE"/>
              </w:rPr>
              <w:drawing>
                <wp:inline distT="0" distB="0" distL="0" distR="0" wp14:anchorId="4D5F5394" wp14:editId="741FB703">
                  <wp:extent cx="1828800" cy="381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381000"/>
                          </a:xfrm>
                          <a:prstGeom prst="rect">
                            <a:avLst/>
                          </a:prstGeom>
                          <a:noFill/>
                          <a:ln>
                            <a:noFill/>
                          </a:ln>
                        </pic:spPr>
                      </pic:pic>
                    </a:graphicData>
                  </a:graphic>
                </wp:inline>
              </w:drawing>
            </w:r>
          </w:p>
        </w:tc>
        <w:tc>
          <w:tcPr>
            <w:tcW w:w="992" w:type="dxa"/>
            <w:vAlign w:val="center"/>
          </w:tcPr>
          <w:p w14:paraId="29C616B3" w14:textId="77777777" w:rsidR="00B44C2E" w:rsidRPr="003F3B0B" w:rsidRDefault="003D3FD0" w:rsidP="00B44C2E">
            <w:pPr>
              <w:pStyle w:val="Caption"/>
              <w:spacing w:after="0"/>
              <w:jc w:val="right"/>
              <w:rPr>
                <w:rFonts w:ascii="Calibri" w:hAnsi="Calibri"/>
              </w:rPr>
            </w:pPr>
            <w:r w:rsidRPr="003F3B0B">
              <w:t>(</w:t>
            </w:r>
            <w:fldSimple w:instr=" SEQ 7. \* ARABIC ">
              <w:r w:rsidR="003D1AA2" w:rsidRPr="003F3B0B">
                <w:rPr>
                  <w:noProof/>
                </w:rPr>
                <w:t>12</w:t>
              </w:r>
            </w:fldSimple>
            <w:r w:rsidR="00B44C2E" w:rsidRPr="003F3B0B">
              <w:t>)</w:t>
            </w:r>
          </w:p>
        </w:tc>
      </w:tr>
    </w:tbl>
    <w:p w14:paraId="4EA03272" w14:textId="77777777" w:rsidR="00B44C2E" w:rsidRPr="003F3B0B" w:rsidRDefault="00B44C2E" w:rsidP="00B44C2E">
      <w:proofErr w:type="gramStart"/>
      <w:r w:rsidRPr="003F3B0B">
        <w:t>where</w:t>
      </w:r>
      <w:proofErr w:type="gramEnd"/>
      <w:r w:rsidRPr="003F3B0B">
        <w:t xml:space="preserve"> </w:t>
      </w:r>
      <w:proofErr w:type="spellStart"/>
      <w:r w:rsidRPr="003F3B0B">
        <w:rPr>
          <w:rFonts w:cs="Times New Roman"/>
          <w:i/>
        </w:rPr>
        <w:t>Δσ</w:t>
      </w:r>
      <w:r w:rsidRPr="003F3B0B">
        <w:rPr>
          <w:vertAlign w:val="subscript"/>
        </w:rPr>
        <w:t>xx</w:t>
      </w:r>
      <w:proofErr w:type="spellEnd"/>
      <w:r w:rsidRPr="003F3B0B">
        <w:t xml:space="preserve"> and</w:t>
      </w:r>
      <w:r w:rsidRPr="003F3B0B">
        <w:rPr>
          <w:rFonts w:cs="Times New Roman"/>
          <w:i/>
        </w:rPr>
        <w:t xml:space="preserve"> </w:t>
      </w:r>
      <w:proofErr w:type="spellStart"/>
      <w:r w:rsidRPr="003F3B0B">
        <w:rPr>
          <w:rFonts w:cs="Times New Roman"/>
          <w:i/>
        </w:rPr>
        <w:t>Δσ</w:t>
      </w:r>
      <w:r w:rsidRPr="003F3B0B">
        <w:rPr>
          <w:vertAlign w:val="subscript"/>
        </w:rPr>
        <w:t>xy</w:t>
      </w:r>
      <w:proofErr w:type="spellEnd"/>
      <w:r w:rsidRPr="003F3B0B">
        <w:t xml:space="preserve"> are the local FE-predicted normal and shear stresses during crack growth in Mode I and Mode II, respectively. The effective stress intensity factor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992"/>
      </w:tblGrid>
      <w:tr w:rsidR="003F3B0B" w:rsidRPr="003F3B0B" w14:paraId="7AA62F8D" w14:textId="77777777" w:rsidTr="00327B40">
        <w:tc>
          <w:tcPr>
            <w:tcW w:w="8188" w:type="dxa"/>
            <w:vAlign w:val="center"/>
          </w:tcPr>
          <w:p w14:paraId="72BC0D43" w14:textId="20FCEB6F" w:rsidR="00B44C2E" w:rsidRPr="003F3B0B" w:rsidRDefault="00C47C78" w:rsidP="00B44C2E">
            <w:pPr>
              <w:jc w:val="center"/>
              <w:rPr>
                <w:rFonts w:eastAsiaTheme="minorEastAsia"/>
              </w:rPr>
            </w:pPr>
            <w:r w:rsidRPr="003F3B0B">
              <w:rPr>
                <w:noProof/>
                <w:position w:val="-16"/>
                <w:lang w:eastAsia="en-IE"/>
              </w:rPr>
              <w:lastRenderedPageBreak/>
              <w:drawing>
                <wp:inline distT="0" distB="0" distL="0" distR="0" wp14:anchorId="3A1FC3F3" wp14:editId="108387C9">
                  <wp:extent cx="1752600" cy="295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2600" cy="295275"/>
                          </a:xfrm>
                          <a:prstGeom prst="rect">
                            <a:avLst/>
                          </a:prstGeom>
                          <a:noFill/>
                          <a:ln>
                            <a:noFill/>
                          </a:ln>
                        </pic:spPr>
                      </pic:pic>
                    </a:graphicData>
                  </a:graphic>
                </wp:inline>
              </w:drawing>
            </w:r>
          </w:p>
        </w:tc>
        <w:tc>
          <w:tcPr>
            <w:tcW w:w="992" w:type="dxa"/>
            <w:vAlign w:val="center"/>
          </w:tcPr>
          <w:p w14:paraId="3355B8FA" w14:textId="77777777" w:rsidR="00B44C2E" w:rsidRPr="003F3B0B" w:rsidRDefault="003D3FD0" w:rsidP="00B44C2E">
            <w:pPr>
              <w:pStyle w:val="Caption"/>
              <w:spacing w:after="0"/>
              <w:jc w:val="right"/>
              <w:rPr>
                <w:rFonts w:ascii="Calibri" w:hAnsi="Calibri"/>
              </w:rPr>
            </w:pPr>
            <w:r w:rsidRPr="003F3B0B">
              <w:t>(</w:t>
            </w:r>
            <w:fldSimple w:instr=" SEQ 7. \* ARABIC ">
              <w:r w:rsidR="003D1AA2" w:rsidRPr="003F3B0B">
                <w:rPr>
                  <w:noProof/>
                </w:rPr>
                <w:t>13</w:t>
              </w:r>
            </w:fldSimple>
            <w:r w:rsidR="00B44C2E" w:rsidRPr="003F3B0B">
              <w:t>)</w:t>
            </w:r>
          </w:p>
        </w:tc>
      </w:tr>
    </w:tbl>
    <w:p w14:paraId="547B212B" w14:textId="77777777" w:rsidR="00B44C2E" w:rsidRPr="003F3B0B" w:rsidRDefault="00B44C2E" w:rsidP="00B44C2E">
      <w:proofErr w:type="gramStart"/>
      <w:r w:rsidRPr="003F3B0B">
        <w:t>where</w:t>
      </w:r>
      <w:proofErr w:type="gramEnd"/>
      <w:r w:rsidRPr="003F3B0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850"/>
      </w:tblGrid>
      <w:tr w:rsidR="003F3B0B" w:rsidRPr="003F3B0B" w14:paraId="1C51B967" w14:textId="77777777" w:rsidTr="00327B40">
        <w:tc>
          <w:tcPr>
            <w:tcW w:w="8330" w:type="dxa"/>
            <w:vAlign w:val="center"/>
          </w:tcPr>
          <w:p w14:paraId="12B44CA9" w14:textId="5030EBE3" w:rsidR="00B44C2E" w:rsidRPr="003F3B0B" w:rsidRDefault="00C47C78" w:rsidP="00B44C2E">
            <w:pPr>
              <w:jc w:val="center"/>
              <w:rPr>
                <w:rFonts w:eastAsiaTheme="minorEastAsia"/>
              </w:rPr>
            </w:pPr>
            <w:r w:rsidRPr="003F3B0B">
              <w:rPr>
                <w:noProof/>
                <w:position w:val="-14"/>
                <w:lang w:eastAsia="en-IE"/>
              </w:rPr>
              <w:drawing>
                <wp:inline distT="0" distB="0" distL="0" distR="0" wp14:anchorId="0AC16793" wp14:editId="5E327149">
                  <wp:extent cx="1495425" cy="2857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5425" cy="285750"/>
                          </a:xfrm>
                          <a:prstGeom prst="rect">
                            <a:avLst/>
                          </a:prstGeom>
                          <a:noFill/>
                          <a:ln>
                            <a:noFill/>
                          </a:ln>
                        </pic:spPr>
                      </pic:pic>
                    </a:graphicData>
                  </a:graphic>
                </wp:inline>
              </w:drawing>
            </w:r>
          </w:p>
        </w:tc>
        <w:tc>
          <w:tcPr>
            <w:tcW w:w="850" w:type="dxa"/>
            <w:vAlign w:val="center"/>
          </w:tcPr>
          <w:p w14:paraId="29EDA14C" w14:textId="77777777" w:rsidR="00B44C2E" w:rsidRPr="003F3B0B" w:rsidRDefault="003D3FD0" w:rsidP="00B44C2E">
            <w:pPr>
              <w:pStyle w:val="Caption"/>
              <w:spacing w:after="0"/>
              <w:jc w:val="right"/>
              <w:rPr>
                <w:rFonts w:ascii="Calibri" w:hAnsi="Calibri"/>
              </w:rPr>
            </w:pPr>
            <w:r w:rsidRPr="003F3B0B">
              <w:t>(</w:t>
            </w:r>
            <w:fldSimple w:instr=" SEQ 7. \* ARABIC ">
              <w:r w:rsidR="003D1AA2" w:rsidRPr="003F3B0B">
                <w:rPr>
                  <w:noProof/>
                </w:rPr>
                <w:t>14</w:t>
              </w:r>
            </w:fldSimple>
            <w:r w:rsidR="00B44C2E" w:rsidRPr="003F3B0B">
              <w:t>)</w:t>
            </w:r>
          </w:p>
        </w:tc>
      </w:tr>
    </w:tbl>
    <w:p w14:paraId="06426143" w14:textId="7C9890A2" w:rsidR="00B44C2E" w:rsidRPr="003F3B0B" w:rsidRDefault="00B44C2E" w:rsidP="00B44C2E">
      <w:proofErr w:type="gramStart"/>
      <w:r w:rsidRPr="003F3B0B">
        <w:t>where</w:t>
      </w:r>
      <w:proofErr w:type="gramEnd"/>
      <w:r w:rsidRPr="003F3B0B">
        <w:t xml:space="preserve"> </w:t>
      </w:r>
      <w:r w:rsidRPr="003F3B0B">
        <w:rPr>
          <w:i/>
        </w:rPr>
        <w:t>R</w:t>
      </w:r>
      <w:r w:rsidRPr="003F3B0B">
        <w:t xml:space="preserve"> is the stress ratio &gt; 0 and </w:t>
      </w:r>
      <w:r w:rsidRPr="003F3B0B">
        <w:rPr>
          <w:i/>
        </w:rPr>
        <w:t>n</w:t>
      </w:r>
      <w:r w:rsidRPr="003F3B0B">
        <w:t xml:space="preserve"> is a material constant, where 0 &lt; </w:t>
      </w:r>
      <w:r w:rsidRPr="003F3B0B">
        <w:rPr>
          <w:i/>
        </w:rPr>
        <w:t>n</w:t>
      </w:r>
      <w:r w:rsidRPr="003F3B0B">
        <w:t xml:space="preserve"> </w:t>
      </w:r>
      <w:r w:rsidR="00C8633A" w:rsidRPr="003F3B0B">
        <w:t xml:space="preserve">&lt; </w:t>
      </w:r>
      <w:r w:rsidRPr="003F3B0B">
        <w:t xml:space="preserve">1. In this </w:t>
      </w:r>
      <w:r w:rsidRPr="003F3B0B">
        <w:rPr>
          <w:noProof/>
        </w:rPr>
        <w:t>work,</w:t>
      </w:r>
      <w:r w:rsidRPr="003F3B0B">
        <w:t xml:space="preserve"> </w:t>
      </w:r>
      <w:r w:rsidRPr="003F3B0B">
        <w:rPr>
          <w:i/>
        </w:rPr>
        <w:t>n</w:t>
      </w:r>
      <w:r w:rsidRPr="003F3B0B">
        <w:t xml:space="preserve"> was chosen to be 0.5. The incremental crack growth, </w:t>
      </w:r>
      <w:proofErr w:type="spellStart"/>
      <w:r w:rsidRPr="003F3B0B">
        <w:rPr>
          <w:rFonts w:cs="Times New Roman"/>
          <w:i/>
        </w:rPr>
        <w:t>Δ</w:t>
      </w:r>
      <w:r w:rsidRPr="003F3B0B">
        <w:rPr>
          <w:i/>
        </w:rPr>
        <w:t>a</w:t>
      </w:r>
      <w:proofErr w:type="spellEnd"/>
      <w:r w:rsidRPr="003F3B0B">
        <w:t>, is defined by:</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850"/>
      </w:tblGrid>
      <w:tr w:rsidR="003F3B0B" w:rsidRPr="003F3B0B" w14:paraId="1426046C" w14:textId="77777777" w:rsidTr="00327B40">
        <w:tc>
          <w:tcPr>
            <w:tcW w:w="8330" w:type="dxa"/>
            <w:vAlign w:val="center"/>
          </w:tcPr>
          <w:p w14:paraId="3B9A0DB3" w14:textId="28A08E00" w:rsidR="00B44C2E" w:rsidRPr="003F3B0B" w:rsidRDefault="00C47C78" w:rsidP="00B44C2E">
            <w:pPr>
              <w:jc w:val="center"/>
              <w:rPr>
                <w:rFonts w:eastAsiaTheme="minorEastAsia"/>
              </w:rPr>
            </w:pPr>
            <w:r w:rsidRPr="003F3B0B">
              <w:rPr>
                <w:noProof/>
                <w:position w:val="-14"/>
                <w:lang w:eastAsia="en-IE"/>
              </w:rPr>
              <w:drawing>
                <wp:inline distT="0" distB="0" distL="0" distR="0" wp14:anchorId="6C5CEC90" wp14:editId="64EB0EB8">
                  <wp:extent cx="1657350" cy="285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57350" cy="285750"/>
                          </a:xfrm>
                          <a:prstGeom prst="rect">
                            <a:avLst/>
                          </a:prstGeom>
                          <a:noFill/>
                          <a:ln>
                            <a:noFill/>
                          </a:ln>
                        </pic:spPr>
                      </pic:pic>
                    </a:graphicData>
                  </a:graphic>
                </wp:inline>
              </w:drawing>
            </w:r>
          </w:p>
        </w:tc>
        <w:tc>
          <w:tcPr>
            <w:tcW w:w="850" w:type="dxa"/>
            <w:vAlign w:val="center"/>
          </w:tcPr>
          <w:p w14:paraId="200C5503" w14:textId="77777777" w:rsidR="00B44C2E" w:rsidRPr="003F3B0B" w:rsidRDefault="003D3FD0" w:rsidP="00B44C2E">
            <w:pPr>
              <w:pStyle w:val="Caption"/>
              <w:spacing w:after="0"/>
              <w:jc w:val="right"/>
              <w:rPr>
                <w:rFonts w:ascii="Calibri" w:hAnsi="Calibri"/>
              </w:rPr>
            </w:pPr>
            <w:r w:rsidRPr="003F3B0B">
              <w:t>(</w:t>
            </w:r>
            <w:fldSimple w:instr=" SEQ 7. \* ARABIC ">
              <w:r w:rsidR="003D1AA2" w:rsidRPr="003F3B0B">
                <w:rPr>
                  <w:noProof/>
                </w:rPr>
                <w:t>15</w:t>
              </w:r>
            </w:fldSimple>
            <w:r w:rsidR="00B44C2E" w:rsidRPr="003F3B0B">
              <w:t>)</w:t>
            </w:r>
          </w:p>
        </w:tc>
      </w:tr>
    </w:tbl>
    <w:p w14:paraId="11845CC8" w14:textId="7C444215" w:rsidR="00F640C1" w:rsidRPr="003F3B0B" w:rsidRDefault="00B44C2E" w:rsidP="00F640C1">
      <w:proofErr w:type="gramStart"/>
      <w:r w:rsidRPr="003F3B0B">
        <w:t>where</w:t>
      </w:r>
      <w:proofErr w:type="gramEnd"/>
      <w:r w:rsidRPr="003F3B0B">
        <w:t xml:space="preserve"> </w:t>
      </w:r>
      <w:r w:rsidRPr="003F3B0B">
        <w:rPr>
          <w:rFonts w:cs="Times New Roman"/>
        </w:rPr>
        <w:t>Δ</w:t>
      </w:r>
      <w:r w:rsidRPr="003F3B0B">
        <w:rPr>
          <w:i/>
        </w:rPr>
        <w:t xml:space="preserve">N </w:t>
      </w:r>
      <w:r w:rsidRPr="003F3B0B">
        <w:t xml:space="preserve">is a cycle jumping factor. The process crack growth calculation is incrementally repeated until the crack length, </w:t>
      </w:r>
      <w:r w:rsidRPr="003F3B0B">
        <w:rPr>
          <w:i/>
        </w:rPr>
        <w:t>a</w:t>
      </w:r>
      <w:r w:rsidRPr="003F3B0B">
        <w:t>, propagates to a length of 2 mm</w:t>
      </w:r>
      <w:r w:rsidR="00020CF5" w:rsidRPr="003F3B0B">
        <w:t>; at this distance away from the contact region, the primary stress is in the axial</w:t>
      </w:r>
      <w:r w:rsidR="00C459EF" w:rsidRPr="003F3B0B">
        <w:t xml:space="preserve"> direction</w:t>
      </w:r>
      <w:r w:rsidRPr="003F3B0B">
        <w:t xml:space="preserve">. Previously published Paris coefficients for a dual phase pearlite-ferrite cold-formed steel were used here </w:t>
      </w:r>
      <w:r w:rsidRPr="003F3B0B">
        <w:fldChar w:fldCharType="begin" w:fldLock="1"/>
      </w:r>
      <w:r w:rsidR="00EF5D3F" w:rsidRPr="003F3B0B">
        <w:instrText>ADDIN CSL_CITATION { "citationItems" : [ { "id" : "ITEM-1", "itemData" : { "DOI" : "10.1016/j.msea.2014.06.002", "ISBN" : "10445803", "ISSN" : "09215093", "abstract" : "Fatigue crack growth behaviors of cold-rolled dual phase steels with different microstructures were investigated at room temperature. The ferrite-martensite dual-phase microstructure was obtained by intercritical annealing. Fatigue crack growth (FCG) behaviors were described by both the Paris model and a new exponential model; fatigue fractography and surface morphology near the fracture were arrested by scanning electron microscopy (SEM); the relationship between macroscopic and microcosmic FCG rate was analyzed quantificationally. The results showed that both the models can be used to describe the fatigue crack growth rate of the samples rather well; fatigue striations and secondary cracks were observed in the fracture surface at stable expanding region (II), while the fracture at rapid expanding region (III) combined dimple and quasi-cleavage morphology; the roughness of fracture surface and the degree of secondary cracking increased with an increase in martensite content, leading to a higher threshold value. Moreover, the changes of microcosmic FCG rate were smoother than that of the macroscopic FCG rate. ?? 2014 Elsevier B.V.", "author" : [ { "dropping-particle" : "", "family" : "Li", "given" : "Shengci", "non-dropping-particle" : "", "parse-names" : false, "suffix" : "" }, { "dropping-particle" : "", "family" : "Kang", "given" : "Yonglin", "non-dropping-particle" : "", "parse-names" : false, "suffix" : "" }, { "dropping-particle" : "", "family" : "Kuang", "given" : "Shuang", "non-dropping-particle" : "", "parse-names" : false, "suffix" : "" } ], "container-title" : "Materials Science and Engineering A", "id" : "ITEM-1", "issued" : { "date-parts" : [ [ "2014" ] ] }, "page" : "153-161", "title" : "Effects of microstructure on fatigue crack growth behavior in cold-rolled dual phase steels", "type" : "article-journal", "volume" : "612" }, "uris" : [ "http://www.mendeley.com/documents/?uuid=18cb786c-4e81-3a17-86b4-bc55f043c30b", "http://www.mendeley.com/documents/?uuid=397cd4d6-170c-49f5-8bce-359f75089b54" ] } ], "mendeley" : { "formattedCitation" : "[51]", "plainTextFormattedCitation" : "[51]", "previouslyFormattedCitation" : "[51]" }, "properties" : { "noteIndex" : 0 }, "schema" : "https://github.com/citation-style-language/schema/raw/master/csl-citation.json" }</w:instrText>
      </w:r>
      <w:r w:rsidRPr="003F3B0B">
        <w:fldChar w:fldCharType="separate"/>
      </w:r>
      <w:r w:rsidR="00EF5D3F" w:rsidRPr="003F3B0B">
        <w:rPr>
          <w:noProof/>
        </w:rPr>
        <w:t>[51]</w:t>
      </w:r>
      <w:r w:rsidRPr="003F3B0B">
        <w:fldChar w:fldCharType="end"/>
      </w:r>
      <w:r w:rsidRPr="003F3B0B">
        <w:t xml:space="preserve">. This methodology has been </w:t>
      </w:r>
      <w:r w:rsidR="00020CF5" w:rsidRPr="003F3B0B">
        <w:t xml:space="preserve">successfully </w:t>
      </w:r>
      <w:r w:rsidRPr="003F3B0B">
        <w:t>validated against results obtained from the Paris equation for a plan</w:t>
      </w:r>
      <w:r w:rsidR="00DF0389" w:rsidRPr="003F3B0B">
        <w:t>e</w:t>
      </w:r>
      <w:r w:rsidRPr="003F3B0B">
        <w:t xml:space="preserve"> fatigue case. This method includes the El-Haddad correction for short crack growth </w:t>
      </w:r>
      <w:r w:rsidRPr="003F3B0B">
        <w:fldChar w:fldCharType="begin" w:fldLock="1"/>
      </w:r>
      <w:r w:rsidR="00EF5D3F" w:rsidRPr="003F3B0B">
        <w:instrText>ADDIN CSL_CITATION { "citationItems" : [ { "id" : "ITEM-1", "itemData" : { "DOI" : "10.1016/0013-7944(79)90081-X", "ISSN" : "00137944", "abstract" : "An explanation for non propagating fatigue cracks is presented based on the criterion that once the value of a particular strain intensity factor reduces to the threshold value for the material the crack should stop. Predicted lengths of these cracks based on solutions for the intensity factor are in good agreement with the experimental data. Intensity factor trends for cracks in notches are shown to vary from an initial decrease to a minimum value followed by an increase and eventual convergence with the trend for the equivalent long crack for sharp notches to the blunt notch curves that continuously increased during their approach to the long crack trend. The type of trend exhibited by a given notch depends both on notch geometry and notch size. In blunt notches the maximum value of the threshold stress for crack propagation is at initiation. However, for sharp notches the peak value of the threshold stress vs crack length curves shifts to a finite length. Stresses above the initiation level but below this peak stress level result in fatigue cracks which start but do not propagate to failure. Predicted values of the fatigue limit stresses for a variety of sizes in a circular and an elliptical notch are in good agreement with experimental results. ?? 1979.", "author" : [ { "dropping-particle" : "", "family" : "Haddad", "given" : "M. H.", "non-dropping-particle" : "El", "parse-names" : false, "suffix" : "" }, { "dropping-particle" : "", "family" : "Topper", "given" : "T. H.", "non-dropping-particle" : "", "parse-names" : false, "suffix" : "" }, { "dropping-particle" : "", "family" : "Smith", "given" : "K. N.", "non-dropping-particle" : "", "parse-names" : false, "suffix" : "" } ], "container-title" : "Engineering Fracture Mechanics", "id" : "ITEM-1", "issue" : "3", "issued" : { "date-parts" : [ [ "1979" ] ] }, "page" : "573-584", "publisher" : "Pergamon", "title" : "Prediction of non propagating cracks", "type" : "article-journal", "volume" : "11" }, "uris" : [ "http://www.mendeley.com/documents/?uuid=6bd9fea4-1b77-36f9-a7a9-91e6e2ba9dc8", "http://www.mendeley.com/documents/?uuid=c95f7223-898c-4f07-8fcc-5c032c36a28f" ] } ], "mendeley" : { "formattedCitation" : "[52]", "plainTextFormattedCitation" : "[52]", "previouslyFormattedCitation" : "[52]" }, "properties" : { "noteIndex" : 0 }, "schema" : "https://github.com/citation-style-language/schema/raw/master/csl-citation.json" }</w:instrText>
      </w:r>
      <w:r w:rsidRPr="003F3B0B">
        <w:fldChar w:fldCharType="separate"/>
      </w:r>
      <w:r w:rsidR="00EF5D3F" w:rsidRPr="003F3B0B">
        <w:rPr>
          <w:noProof/>
        </w:rPr>
        <w:t>[52]</w:t>
      </w:r>
      <w:r w:rsidRPr="003F3B0B">
        <w:fldChar w:fldCharType="end"/>
      </w:r>
      <w:r w:rsidRPr="003F3B0B">
        <w:t>.</w:t>
      </w:r>
    </w:p>
    <w:p w14:paraId="1DE82B51" w14:textId="77777777" w:rsidR="00F640C1" w:rsidRPr="003F3B0B" w:rsidRDefault="00F640C1" w:rsidP="00F640C1"/>
    <w:p w14:paraId="6ED280EA" w14:textId="77777777" w:rsidR="00E70C83" w:rsidRPr="003F3B0B" w:rsidRDefault="00E70C83" w:rsidP="00E70C83">
      <w:pPr>
        <w:pStyle w:val="Heading1"/>
      </w:pPr>
      <w:r w:rsidRPr="003F3B0B">
        <w:t>Results</w:t>
      </w:r>
    </w:p>
    <w:p w14:paraId="1CA87D95" w14:textId="77777777" w:rsidR="00E70C83" w:rsidRPr="003F3B0B" w:rsidRDefault="00E70C83" w:rsidP="00E70C83">
      <w:pPr>
        <w:pStyle w:val="Heading2"/>
      </w:pPr>
      <w:r w:rsidRPr="003F3B0B">
        <w:t>Global analysis</w:t>
      </w:r>
    </w:p>
    <w:p w14:paraId="06E67840" w14:textId="71B9F91A" w:rsidR="00B44C2E" w:rsidRPr="003F3B0B" w:rsidRDefault="00B44C2E" w:rsidP="00B44C2E">
      <w:r w:rsidRPr="003F3B0B">
        <w:t>Key output variables from the global analysis are (</w:t>
      </w:r>
      <w:proofErr w:type="spellStart"/>
      <w:r w:rsidRPr="003F3B0B">
        <w:t>i</w:t>
      </w:r>
      <w:proofErr w:type="spellEnd"/>
      <w:r w:rsidRPr="003F3B0B">
        <w:t xml:space="preserve">) time histories of riser curvature and axial tension and (ii) envelopes of the minimum and maximum riser curvatures and axial tensions along the length of the riser. This data allows for detailed design of flexible risers based on dynamic responses to various sea state loadings. </w:t>
      </w:r>
    </w:p>
    <w:p w14:paraId="529FEECA" w14:textId="11EC2692" w:rsidR="00B44C2E" w:rsidRPr="003F3B0B" w:rsidRDefault="00B44C2E" w:rsidP="00B44C2E">
      <w:r w:rsidRPr="003F3B0B">
        <w:t>Normalised time histories of resultant rise curvature (</w:t>
      </w:r>
      <w:r w:rsidRPr="003F3B0B">
        <w:rPr>
          <w:rFonts w:cs="Times New Roman"/>
          <w:i/>
        </w:rPr>
        <w:t>κ</w:t>
      </w:r>
      <w:r w:rsidRPr="003F3B0B">
        <w:rPr>
          <w:rFonts w:cs="Times New Roman"/>
        </w:rPr>
        <w:t>/</w:t>
      </w:r>
      <w:proofErr w:type="spellStart"/>
      <w:r w:rsidRPr="003F3B0B">
        <w:rPr>
          <w:rFonts w:cs="Times New Roman"/>
          <w:i/>
        </w:rPr>
        <w:t>κ</w:t>
      </w:r>
      <w:r w:rsidRPr="003F3B0B">
        <w:rPr>
          <w:rFonts w:cs="Times New Roman"/>
          <w:vertAlign w:val="subscript"/>
        </w:rPr>
        <w:t>max</w:t>
      </w:r>
      <w:proofErr w:type="spellEnd"/>
      <w:r w:rsidRPr="003F3B0B">
        <w:rPr>
          <w:rFonts w:cs="Times New Roman"/>
        </w:rPr>
        <w:t>)</w:t>
      </w:r>
      <w:r w:rsidRPr="003F3B0B">
        <w:t>, axial tension (</w:t>
      </w:r>
      <w:r w:rsidRPr="003F3B0B">
        <w:rPr>
          <w:i/>
        </w:rPr>
        <w:t>F</w:t>
      </w:r>
      <w:r w:rsidRPr="003F3B0B">
        <w:t>/</w:t>
      </w:r>
      <w:proofErr w:type="spellStart"/>
      <w:r w:rsidRPr="003F3B0B">
        <w:rPr>
          <w:rFonts w:cs="Times New Roman"/>
          <w:i/>
        </w:rPr>
        <w:t>F</w:t>
      </w:r>
      <w:r w:rsidRPr="003F3B0B">
        <w:rPr>
          <w:rFonts w:cs="Times New Roman"/>
          <w:vertAlign w:val="subscript"/>
        </w:rPr>
        <w:t>max</w:t>
      </w:r>
      <w:proofErr w:type="spellEnd"/>
      <w:r w:rsidRPr="003F3B0B">
        <w:t>) and internal and external pressures (</w:t>
      </w:r>
      <w:r w:rsidRPr="003F3B0B">
        <w:rPr>
          <w:i/>
        </w:rPr>
        <w:t>p</w:t>
      </w:r>
      <w:r w:rsidRPr="003F3B0B">
        <w:t>/</w:t>
      </w:r>
      <w:proofErr w:type="spellStart"/>
      <w:r w:rsidRPr="003F3B0B">
        <w:rPr>
          <w:rFonts w:cs="Times New Roman"/>
          <w:i/>
        </w:rPr>
        <w:t>p</w:t>
      </w:r>
      <w:r w:rsidRPr="003F3B0B">
        <w:rPr>
          <w:rFonts w:cs="Times New Roman"/>
          <w:vertAlign w:val="subscript"/>
        </w:rPr>
        <w:t>max</w:t>
      </w:r>
      <w:proofErr w:type="spellEnd"/>
      <w:r w:rsidRPr="003F3B0B">
        <w:t xml:space="preserve">) results from dynamic riser analysis are shown in </w:t>
      </w:r>
      <w:r w:rsidR="008C0FCD" w:rsidRPr="003F3B0B">
        <w:lastRenderedPageBreak/>
        <w:fldChar w:fldCharType="begin"/>
      </w:r>
      <w:r w:rsidR="008C0FCD" w:rsidRPr="003F3B0B">
        <w:instrText xml:space="preserve"> REF _Ref11248699 \h </w:instrText>
      </w:r>
      <w:r w:rsidR="008C0FCD" w:rsidRPr="003F3B0B">
        <w:fldChar w:fldCharType="separate"/>
      </w:r>
      <w:r w:rsidR="003D1AA2" w:rsidRPr="003F3B0B">
        <w:t xml:space="preserve">Figure </w:t>
      </w:r>
      <w:r w:rsidR="003D1AA2" w:rsidRPr="003F3B0B">
        <w:rPr>
          <w:noProof/>
        </w:rPr>
        <w:t>8</w:t>
      </w:r>
      <w:r w:rsidR="008C0FCD" w:rsidRPr="003F3B0B">
        <w:fldChar w:fldCharType="end"/>
      </w:r>
      <w:r w:rsidRPr="003F3B0B">
        <w:t xml:space="preserve">; these results are </w:t>
      </w:r>
      <w:r w:rsidR="00C8633A" w:rsidRPr="003F3B0B">
        <w:t xml:space="preserve">for </w:t>
      </w:r>
      <w:r w:rsidRPr="003F3B0B">
        <w:t xml:space="preserve">the SLHR hang-off point. The internal and external </w:t>
      </w:r>
      <w:proofErr w:type="gramStart"/>
      <w:r w:rsidRPr="003F3B0B">
        <w:t>pressure remain</w:t>
      </w:r>
      <w:proofErr w:type="gramEnd"/>
      <w:r w:rsidRPr="003F3B0B">
        <w:t xml:space="preserve"> constant with respect to time. In all load-cases, riser curvature is seen to be 180</w:t>
      </w:r>
      <w:r w:rsidRPr="003F3B0B">
        <w:rPr>
          <w:rFonts w:ascii="Cambria Math" w:hAnsi="Cambria Math" w:cs="Cambria Math"/>
        </w:rPr>
        <w:t>⁰</w:t>
      </w:r>
      <w:r w:rsidRPr="003F3B0B">
        <w:t xml:space="preserve"> out of phase with axial tension. </w:t>
      </w:r>
      <w:r w:rsidR="00020CF5" w:rsidRPr="003F3B0B">
        <w:t>T</w:t>
      </w:r>
      <w:r w:rsidRPr="003F3B0B">
        <w:t xml:space="preserve">he axial force is </w:t>
      </w:r>
      <w:r w:rsidR="00C8633A" w:rsidRPr="003F3B0B">
        <w:t>tensile</w:t>
      </w:r>
      <w:r w:rsidRPr="003F3B0B">
        <w:t xml:space="preserve"> at all times.</w:t>
      </w:r>
    </w:p>
    <w:p w14:paraId="5C98966B" w14:textId="078F3B95" w:rsidR="00B44C2E" w:rsidRPr="003F3B0B" w:rsidRDefault="00B44C2E" w:rsidP="00B44C2E">
      <w:r w:rsidRPr="003F3B0B">
        <w:t xml:space="preserve">The minimum and maximum axial force and riser curvature along the </w:t>
      </w:r>
      <w:r w:rsidRPr="003F3B0B">
        <w:rPr>
          <w:noProof/>
        </w:rPr>
        <w:t>length</w:t>
      </w:r>
      <w:r w:rsidRPr="003F3B0B">
        <w:t xml:space="preserve"> of the 6 inch riser under load case 1 are presented in </w:t>
      </w:r>
      <w:r w:rsidR="008C0FCD" w:rsidRPr="003F3B0B">
        <w:fldChar w:fldCharType="begin"/>
      </w:r>
      <w:r w:rsidR="008C0FCD" w:rsidRPr="003F3B0B">
        <w:instrText xml:space="preserve"> REF _Ref11248735 \h </w:instrText>
      </w:r>
      <w:r w:rsidR="008C0FCD" w:rsidRPr="003F3B0B">
        <w:fldChar w:fldCharType="separate"/>
      </w:r>
      <w:r w:rsidR="003D1AA2" w:rsidRPr="003F3B0B">
        <w:t xml:space="preserve">Figure </w:t>
      </w:r>
      <w:r w:rsidR="003D1AA2" w:rsidRPr="003F3B0B">
        <w:rPr>
          <w:noProof/>
        </w:rPr>
        <w:t>9</w:t>
      </w:r>
      <w:r w:rsidR="008C0FCD" w:rsidRPr="003F3B0B">
        <w:fldChar w:fldCharType="end"/>
      </w:r>
      <w:r w:rsidRPr="003F3B0B">
        <w:t xml:space="preserve">. Note that </w:t>
      </w:r>
      <w:r w:rsidRPr="003F3B0B">
        <w:rPr>
          <w:i/>
        </w:rPr>
        <w:t>l</w:t>
      </w:r>
      <w:r w:rsidRPr="003F3B0B">
        <w:t xml:space="preserve"> in these plots is the length of the riser, measured as curvilinear distance along the </w:t>
      </w:r>
      <w:proofErr w:type="spellStart"/>
      <w:r w:rsidRPr="003F3B0B">
        <w:t>riser</w:t>
      </w:r>
      <w:proofErr w:type="spellEnd"/>
      <w:r w:rsidRPr="003F3B0B">
        <w:t xml:space="preserve"> from the FPSO hang-off point (see</w:t>
      </w:r>
      <w:r w:rsidR="00762F59" w:rsidRPr="003F3B0B">
        <w:t xml:space="preserve"> </w:t>
      </w:r>
      <w:r w:rsidR="00762F59" w:rsidRPr="003F3B0B">
        <w:fldChar w:fldCharType="begin"/>
      </w:r>
      <w:r w:rsidR="00762F59" w:rsidRPr="003F3B0B">
        <w:instrText xml:space="preserve"> REF _Ref11241889 \h </w:instrText>
      </w:r>
      <w:r w:rsidR="00762F59" w:rsidRPr="003F3B0B">
        <w:fldChar w:fldCharType="separate"/>
      </w:r>
      <w:r w:rsidR="003D1AA2" w:rsidRPr="003F3B0B">
        <w:t xml:space="preserve">Figure </w:t>
      </w:r>
      <w:r w:rsidR="003D1AA2" w:rsidRPr="003F3B0B">
        <w:rPr>
          <w:noProof/>
        </w:rPr>
        <w:t>3</w:t>
      </w:r>
      <w:r w:rsidR="00762F59" w:rsidRPr="003F3B0B">
        <w:fldChar w:fldCharType="end"/>
      </w:r>
      <w:r w:rsidRPr="003F3B0B">
        <w:t>). The end-point (</w:t>
      </w:r>
      <w:r w:rsidRPr="003F3B0B">
        <w:rPr>
          <w:i/>
        </w:rPr>
        <w:t>l</w:t>
      </w:r>
      <w:r w:rsidRPr="003F3B0B">
        <w:t xml:space="preserve"> = 550 m) corresponds to the SLHR hang-off point. Clearly, the predicted location of maximum axial tension and riser curvature values </w:t>
      </w:r>
      <w:r w:rsidR="00C8633A" w:rsidRPr="003F3B0B">
        <w:t>is</w:t>
      </w:r>
      <w:r w:rsidRPr="003F3B0B">
        <w:t xml:space="preserve"> at the SLHR </w:t>
      </w:r>
      <w:r w:rsidRPr="003F3B0B">
        <w:rPr>
          <w:noProof/>
        </w:rPr>
        <w:t>hang-off</w:t>
      </w:r>
      <w:r w:rsidRPr="003F3B0B">
        <w:t xml:space="preserve"> point. The SLHR has a more dynamic response to the sea-state loading than the </w:t>
      </w:r>
      <w:proofErr w:type="gramStart"/>
      <w:r w:rsidRPr="003F3B0B">
        <w:t>FPSO,</w:t>
      </w:r>
      <w:proofErr w:type="gramEnd"/>
      <w:r w:rsidRPr="003F3B0B">
        <w:t xml:space="preserve"> therefore, the SLHR hang-off point is the most dynamically loaded point on the flexible riser. The results from </w:t>
      </w:r>
      <w:r w:rsidR="00020CF5" w:rsidRPr="003F3B0B">
        <w:t xml:space="preserve">the </w:t>
      </w:r>
      <w:r w:rsidRPr="003F3B0B">
        <w:t xml:space="preserve">other load-cases analysed for the three risers are consistent with these. </w:t>
      </w:r>
    </w:p>
    <w:p w14:paraId="64CF7B4F" w14:textId="77777777" w:rsidR="00E70C83" w:rsidRPr="003F3B0B" w:rsidRDefault="00E70C83" w:rsidP="00E70C83"/>
    <w:p w14:paraId="06BA69E2" w14:textId="77777777" w:rsidR="00E70C83" w:rsidRPr="003F3B0B" w:rsidRDefault="00E70C83" w:rsidP="00E70C83">
      <w:pPr>
        <w:pStyle w:val="Heading2"/>
      </w:pPr>
      <w:r w:rsidRPr="003F3B0B">
        <w:t>Global-local loading conditions</w:t>
      </w:r>
    </w:p>
    <w:p w14:paraId="387CB0F5" w14:textId="225CACA2" w:rsidR="00B44C2E" w:rsidRPr="003F3B0B" w:rsidRDefault="00B44C2E" w:rsidP="00B44C2E">
      <w:r w:rsidRPr="003F3B0B">
        <w:t>A typical predicted relationship between nub-groove contact displacement (</w:t>
      </w:r>
      <w:r w:rsidRPr="003F3B0B">
        <w:rPr>
          <w:i/>
        </w:rPr>
        <w:t>δ</w:t>
      </w:r>
      <w:r w:rsidRPr="003F3B0B">
        <w:t>) and riser curvature range (</w:t>
      </w:r>
      <w:proofErr w:type="spellStart"/>
      <w:r w:rsidRPr="003F3B0B">
        <w:rPr>
          <w:i/>
        </w:rPr>
        <w:t>Δκ</w:t>
      </w:r>
      <w:proofErr w:type="spellEnd"/>
      <w:r w:rsidRPr="003F3B0B">
        <w:t>)</w:t>
      </w:r>
      <w:r w:rsidR="00C8633A" w:rsidRPr="003F3B0B">
        <w:t xml:space="preserve"> from FE analysis</w:t>
      </w:r>
      <w:r w:rsidRPr="003F3B0B">
        <w:t xml:space="preserve"> is shown</w:t>
      </w:r>
      <w:r w:rsidR="00340718" w:rsidRPr="003F3B0B">
        <w:t xml:space="preserve"> in</w:t>
      </w:r>
      <w:r w:rsidR="002F7743" w:rsidRPr="003F3B0B">
        <w:t xml:space="preserve"> </w:t>
      </w:r>
      <w:r w:rsidR="002F7743" w:rsidRPr="003F3B0B">
        <w:fldChar w:fldCharType="begin"/>
      </w:r>
      <w:r w:rsidR="002F7743" w:rsidRPr="003F3B0B">
        <w:instrText xml:space="preserve"> REF _Ref11248848 \h </w:instrText>
      </w:r>
      <w:r w:rsidR="002F7743" w:rsidRPr="003F3B0B">
        <w:fldChar w:fldCharType="separate"/>
      </w:r>
      <w:r w:rsidR="003D1AA2" w:rsidRPr="003F3B0B">
        <w:t xml:space="preserve">Figure </w:t>
      </w:r>
      <w:r w:rsidR="003D1AA2" w:rsidRPr="003F3B0B">
        <w:rPr>
          <w:noProof/>
        </w:rPr>
        <w:t>10</w:t>
      </w:r>
      <w:r w:rsidR="002F7743" w:rsidRPr="003F3B0B">
        <w:fldChar w:fldCharType="end"/>
      </w:r>
      <w:r w:rsidRPr="003F3B0B">
        <w:t>. Th</w:t>
      </w:r>
      <w:r w:rsidR="00020CF5" w:rsidRPr="003F3B0B">
        <w:t>is</w:t>
      </w:r>
      <w:r w:rsidRPr="003F3B0B">
        <w:t xml:space="preserve"> response</w:t>
      </w:r>
      <w:r w:rsidR="00020CF5" w:rsidRPr="003F3B0B">
        <w:t xml:space="preserve"> is</w:t>
      </w:r>
      <w:r w:rsidRPr="003F3B0B">
        <w:t xml:space="preserve"> obtained from </w:t>
      </w:r>
      <w:r w:rsidR="00020CF5" w:rsidRPr="003F3B0B">
        <w:t xml:space="preserve">the </w:t>
      </w:r>
      <w:r w:rsidRPr="003F3B0B">
        <w:t>global riser cur</w:t>
      </w:r>
      <w:r w:rsidR="003D3FD0" w:rsidRPr="003F3B0B">
        <w:t>vature results</w:t>
      </w:r>
      <w:r w:rsidR="00020CF5" w:rsidRPr="003F3B0B">
        <w:t>,</w:t>
      </w:r>
      <w:r w:rsidR="003D3FD0" w:rsidRPr="003F3B0B">
        <w:t xml:space="preserve"> Equations (4) and (</w:t>
      </w:r>
      <w:r w:rsidRPr="003F3B0B">
        <w:t xml:space="preserve">5) </w:t>
      </w:r>
      <w:r w:rsidR="00020CF5" w:rsidRPr="003F3B0B">
        <w:t>and</w:t>
      </w:r>
      <w:r w:rsidRPr="003F3B0B">
        <w:t xml:space="preserve"> the local FE riser model</w:t>
      </w:r>
      <w:r w:rsidR="002F7743" w:rsidRPr="003F3B0B">
        <w:t xml:space="preserve"> </w:t>
      </w:r>
      <w:r w:rsidR="002F7743" w:rsidRPr="003F3B0B">
        <w:fldChar w:fldCharType="begin" w:fldLock="1"/>
      </w:r>
      <w:r w:rsidR="00EF5D3F" w:rsidRPr="003F3B0B">
        <w:instrText>ADDIN CSL_CITATION { "citationItems" : [ { "id" : "ITEM-1", "itemData" : { "DOI" : "10.1016/j.triboint.2016.02.040", "ISSN" : "0301679X", "abstract" : "This paper presents a computational methodology for frictional contact mechanics of the pressure armour layer in flexible risers. This will allow, for the first time, quantification of key fretting variables, such as contact pressure, relative slip and sub-surface stresses in this complex geometry, under representative loading conditions. Fatigue lives are calculated using the 3-dimensional critical plane Smith\u2013Watson\u2013Topper multiaxial fatigue parameter. It is shown that COF has a significant effect on predicted trailing-edge tensile stresses in the pressure armour layer and, hence on fretting crack initiation in risers. It is also shown that operating pressure and bending-induced axial displacement significantly affect predicted crack initiation. These results will facilitate representative fretting wear and fretting fatigue testing of pressure armour layer material.", "author" : [ { "dropping-particle" : "", "family" : "O\u2019Halloran", "given" : "S.M.", "non-dropping-particle" : "", "parse-names" : false, "suffix" : "" }, { "dropping-particle" : "", "family" : "Harte", "given" : "A.M.", "non-dropping-particle" : "", "parse-names" : false, "suffix" : "" }, { "dropping-particle" : "", "family" : "Connaire", "given" : "A.D.", "non-dropping-particle" : "", "parse-names" : false, "suffix" : "" }, { "dropping-particle" : "", "family" : "Leen", "given" : "S.B.", "non-dropping-particle" : "", "parse-names" : false, "suffix" : "" } ], "container-title" : "Tribology International", "id" : "ITEM-1", "issued" : { "date-parts" : [ [ "2016", "3" ] ] }, "page" : "306-316", "title" : "Modelling of fretting in the pressure armour layer of flexible marine risers", "type" : "article-journal", "volume" : "100" }, "uris" : [ "http://www.mendeley.com/documents/?uuid=b80948ad-fca6-4929-8343-b20fd51894bb" ] } ], "mendeley" : { "formattedCitation" : "[22]", "plainTextFormattedCitation" : "[22]", "previouslyFormattedCitation" : "[22]" }, "properties" : { "noteIndex" : 20 }, "schema" : "https://github.com/citation-style-language/schema/raw/master/csl-citation.json" }</w:instrText>
      </w:r>
      <w:r w:rsidR="002F7743" w:rsidRPr="003F3B0B">
        <w:fldChar w:fldCharType="separate"/>
      </w:r>
      <w:r w:rsidR="00EF5D3F" w:rsidRPr="003F3B0B">
        <w:rPr>
          <w:noProof/>
        </w:rPr>
        <w:t>[22]</w:t>
      </w:r>
      <w:r w:rsidR="002F7743" w:rsidRPr="003F3B0B">
        <w:fldChar w:fldCharType="end"/>
      </w:r>
      <w:r w:rsidRPr="003F3B0B">
        <w:t>. The curvature-slip response shows two types of trends</w:t>
      </w:r>
      <w:r w:rsidR="00915C60" w:rsidRPr="003F3B0B">
        <w:t>,</w:t>
      </w:r>
      <w:r w:rsidRPr="003F3B0B">
        <w:t xml:space="preserve"> depending on slip regime</w:t>
      </w:r>
      <w:r w:rsidR="00C8633A" w:rsidRPr="003F3B0B">
        <w:t>,</w:t>
      </w:r>
      <w:r w:rsidRPr="003F3B0B">
        <w:t xml:space="preserve"> for finite sliding friction; a quadratic trend is observed for PS and a linear trend is observed for GS. To achieve slip</w:t>
      </w:r>
      <w:r w:rsidR="003A5FCE" w:rsidRPr="003F3B0B">
        <w:t>,</w:t>
      </w:r>
      <w:r w:rsidRPr="003F3B0B">
        <w:t xml:space="preserve"> i.e. overcome friction, a certain threshold curvature range, </w:t>
      </w:r>
      <w:proofErr w:type="spellStart"/>
      <w:r w:rsidRPr="003F3B0B">
        <w:rPr>
          <w:rFonts w:cs="Times New Roman"/>
          <w:i/>
        </w:rPr>
        <w:t>Δκ</w:t>
      </w:r>
      <w:r w:rsidRPr="003F3B0B">
        <w:rPr>
          <w:vertAlign w:val="subscript"/>
        </w:rPr>
        <w:t>th</w:t>
      </w:r>
      <w:proofErr w:type="spellEnd"/>
      <w:r w:rsidRPr="003F3B0B">
        <w:t>, is required; above th</w:t>
      </w:r>
      <w:r w:rsidR="00A23CE1" w:rsidRPr="003F3B0B">
        <w:t>is</w:t>
      </w:r>
      <w:r w:rsidRPr="003F3B0B">
        <w:t xml:space="preserve"> threshold value, curvature-slip response is much “softer”, i.e. a smaller change in curvature results in a larger change in slip. The value of </w:t>
      </w:r>
      <w:proofErr w:type="spellStart"/>
      <w:r w:rsidRPr="003F3B0B">
        <w:rPr>
          <w:rFonts w:cs="Times New Roman"/>
          <w:i/>
        </w:rPr>
        <w:t>Δκ</w:t>
      </w:r>
      <w:r w:rsidRPr="003F3B0B">
        <w:rPr>
          <w:vertAlign w:val="subscript"/>
        </w:rPr>
        <w:t>th</w:t>
      </w:r>
      <w:proofErr w:type="spellEnd"/>
      <w:r w:rsidRPr="003F3B0B">
        <w:t xml:space="preserve"> depends on riser geometry and loading conditions.</w:t>
      </w:r>
    </w:p>
    <w:p w14:paraId="229D8724" w14:textId="231F4AA8" w:rsidR="00B44C2E" w:rsidRPr="003F3B0B" w:rsidRDefault="00B44C2E" w:rsidP="00B44C2E">
      <w:r w:rsidRPr="003F3B0B">
        <w:t>This combined geometrical-</w:t>
      </w:r>
      <w:r w:rsidR="00C8633A" w:rsidRPr="003F3B0B">
        <w:t xml:space="preserve">axisymmetric </w:t>
      </w:r>
      <w:r w:rsidRPr="003F3B0B">
        <w:t>FE method, as described in</w:t>
      </w:r>
      <w:r w:rsidR="00FC2C86" w:rsidRPr="003F3B0B">
        <w:t xml:space="preserve"> </w:t>
      </w:r>
      <w:r w:rsidR="00FC2C86" w:rsidRPr="003F3B0B">
        <w:fldChar w:fldCharType="begin"/>
      </w:r>
      <w:r w:rsidR="00FC2C86" w:rsidRPr="003F3B0B">
        <w:instrText xml:space="preserve"> REF _Ref11236066 \h  \* MERGEFORMAT </w:instrText>
      </w:r>
      <w:r w:rsidR="00FC2C86" w:rsidRPr="003F3B0B">
        <w:fldChar w:fldCharType="separate"/>
      </w:r>
      <w:r w:rsidR="003D1AA2" w:rsidRPr="003F3B0B">
        <w:t xml:space="preserve">Figure </w:t>
      </w:r>
      <w:r w:rsidR="003D1AA2" w:rsidRPr="003F3B0B">
        <w:rPr>
          <w:noProof/>
        </w:rPr>
        <w:t>2</w:t>
      </w:r>
      <w:r w:rsidR="00FC2C86" w:rsidRPr="003F3B0B">
        <w:fldChar w:fldCharType="end"/>
      </w:r>
      <w:r w:rsidRPr="003F3B0B">
        <w:t>, has been compared to the 3D riser model</w:t>
      </w:r>
      <w:r w:rsidR="00C36709" w:rsidRPr="003F3B0B">
        <w:t xml:space="preserve"> </w:t>
      </w:r>
      <w:r w:rsidR="00A23CE1" w:rsidRPr="003F3B0B">
        <w:t xml:space="preserve">presented </w:t>
      </w:r>
      <w:r w:rsidR="00C36709" w:rsidRPr="003F3B0B">
        <w:t xml:space="preserve">in </w:t>
      </w:r>
      <w:r w:rsidR="00C36709" w:rsidRPr="003F3B0B">
        <w:fldChar w:fldCharType="begin" w:fldLock="1"/>
      </w:r>
      <w:r w:rsidR="00EF5D3F" w:rsidRPr="003F3B0B">
        <w:instrText>ADDIN CSL_CITATION { "citationItems" : [ { "id" : "ITEM-1", "itemData" : { "author" : [ { "dropping-particle" : "", "family" : "O'Halloran", "given" : "Sin\u00e9ad M.", "non-dropping-particle" : "", "parse-names" : false, "suffix" : "" } ], "id" : "ITEM-1", "issued" : { "date-parts" : [ [ "2017" ] ] }, "publisher" : "Ph.D. Thesis, Mechanical Engineering, National University of Ireland Galway", "title" : "Experimental Characterisation , Computational Modelling and Design Tool Development for Fretting Fatigue and Wear in Flexible Marine Risers", "type" : "thesis" }, "uris" : [ "http://www.mendeley.com/documents/?uuid=65192432-607d-4b36-a00e-6c3ecdca3c50" ] } ], "mendeley" : { "formattedCitation" : "[26]", "plainTextFormattedCitation" : "[26]", "previouslyFormattedCitation" : "[26]" }, "properties" : { "noteIndex" : 19 }, "schema" : "https://github.com/citation-style-language/schema/raw/master/csl-citation.json" }</w:instrText>
      </w:r>
      <w:r w:rsidR="00C36709" w:rsidRPr="003F3B0B">
        <w:fldChar w:fldCharType="separate"/>
      </w:r>
      <w:r w:rsidR="00EF5D3F" w:rsidRPr="003F3B0B">
        <w:rPr>
          <w:noProof/>
        </w:rPr>
        <w:t>[26]</w:t>
      </w:r>
      <w:r w:rsidR="00C36709" w:rsidRPr="003F3B0B">
        <w:fldChar w:fldCharType="end"/>
      </w:r>
      <w:r w:rsidRPr="003F3B0B">
        <w:t xml:space="preserve">. </w:t>
      </w:r>
      <w:r w:rsidR="00A23CE1" w:rsidRPr="003F3B0B">
        <w:t xml:space="preserve">This model, however, by necessity, uses a </w:t>
      </w:r>
      <w:r w:rsidR="00A23CE1" w:rsidRPr="003F3B0B">
        <w:lastRenderedPageBreak/>
        <w:t>much coarser local contact mesh. The general trend is seen to be the same. D</w:t>
      </w:r>
      <w:r w:rsidRPr="003F3B0B">
        <w:t xml:space="preserve">ifferences </w:t>
      </w:r>
      <w:r w:rsidR="00A23CE1" w:rsidRPr="003F3B0B">
        <w:t xml:space="preserve">are attributed to the simplifying assumption of </w:t>
      </w:r>
      <w:proofErr w:type="spellStart"/>
      <w:r w:rsidR="003A5FCE" w:rsidRPr="003F3B0B">
        <w:t>axisymmetry</w:t>
      </w:r>
      <w:proofErr w:type="spellEnd"/>
      <w:r w:rsidR="00A23CE1" w:rsidRPr="003F3B0B">
        <w:t xml:space="preserve"> and the coarser mesh for the 3D riser model.</w:t>
      </w:r>
      <w:r w:rsidRPr="003F3B0B">
        <w:t xml:space="preserve"> The analysis of curvature-slip relationship requires further computational investigation and full-scale </w:t>
      </w:r>
      <w:r w:rsidR="00A23CE1" w:rsidRPr="003F3B0B">
        <w:t xml:space="preserve">experimental </w:t>
      </w:r>
      <w:r w:rsidRPr="003F3B0B">
        <w:t xml:space="preserve">validation, if possible. </w:t>
      </w:r>
    </w:p>
    <w:p w14:paraId="10562548" w14:textId="6A5245FA" w:rsidR="00B44C2E" w:rsidRPr="003F3B0B" w:rsidRDefault="007E7D57" w:rsidP="00B44C2E">
      <w:r w:rsidRPr="003F3B0B">
        <w:fldChar w:fldCharType="begin"/>
      </w:r>
      <w:r w:rsidRPr="003F3B0B">
        <w:instrText xml:space="preserve"> REF _Ref11248848 \h </w:instrText>
      </w:r>
      <w:r w:rsidRPr="003F3B0B">
        <w:fldChar w:fldCharType="separate"/>
      </w:r>
      <w:r w:rsidR="003D1AA2" w:rsidRPr="003F3B0B">
        <w:t xml:space="preserve">Figure </w:t>
      </w:r>
      <w:r w:rsidR="003D1AA2" w:rsidRPr="003F3B0B">
        <w:rPr>
          <w:noProof/>
        </w:rPr>
        <w:t>10</w:t>
      </w:r>
      <w:r w:rsidRPr="003F3B0B">
        <w:fldChar w:fldCharType="end"/>
      </w:r>
      <w:r w:rsidR="00B44C2E" w:rsidRPr="003F3B0B">
        <w:t xml:space="preserve"> shows the curvature-slip relationship for the different size risers. </w:t>
      </w:r>
      <w:r w:rsidR="00915C60" w:rsidRPr="003F3B0B">
        <w:t>T</w:t>
      </w:r>
      <w:r w:rsidR="00B44C2E" w:rsidRPr="003F3B0B">
        <w:t xml:space="preserve">he effect of decreasing riser diameter is the same as that of increasing internal pressure and increasing </w:t>
      </w:r>
      <w:proofErr w:type="spellStart"/>
      <w:r w:rsidR="00B44C2E" w:rsidRPr="003F3B0B">
        <w:t>CoF</w:t>
      </w:r>
      <w:proofErr w:type="spellEnd"/>
      <w:r w:rsidR="00B44C2E" w:rsidRPr="003F3B0B">
        <w:t>.</w:t>
      </w:r>
    </w:p>
    <w:p w14:paraId="53E0ED48" w14:textId="1B27EB23" w:rsidR="00B44C2E" w:rsidRPr="003F3B0B" w:rsidRDefault="00B44C2E" w:rsidP="00B44C2E">
      <w:r w:rsidRPr="003F3B0B">
        <w:t xml:space="preserve">Threshold values of curvature range, </w:t>
      </w:r>
      <w:proofErr w:type="spellStart"/>
      <w:r w:rsidRPr="003F3B0B">
        <w:rPr>
          <w:rFonts w:cs="Times New Roman"/>
          <w:i/>
        </w:rPr>
        <w:t>Δκ</w:t>
      </w:r>
      <w:r w:rsidRPr="003F3B0B">
        <w:rPr>
          <w:rFonts w:cs="Times New Roman"/>
          <w:vertAlign w:val="subscript"/>
        </w:rPr>
        <w:t>th</w:t>
      </w:r>
      <w:proofErr w:type="spellEnd"/>
      <w:r w:rsidRPr="003F3B0B">
        <w:rPr>
          <w:rFonts w:cs="Times New Roman"/>
          <w:i/>
        </w:rPr>
        <w:t xml:space="preserve">, </w:t>
      </w:r>
      <w:r w:rsidRPr="003F3B0B">
        <w:t>have been identified as the curvature range at which nub-groove contact transitions from PS to GS</w:t>
      </w:r>
      <w:r w:rsidR="0001718E" w:rsidRPr="003F3B0B">
        <w:t>.</w:t>
      </w:r>
      <w:r w:rsidRPr="003F3B0B">
        <w:t xml:space="preserve"> </w:t>
      </w:r>
    </w:p>
    <w:p w14:paraId="76FBD0D9" w14:textId="77777777" w:rsidR="00B44C2E" w:rsidRPr="003F3B0B" w:rsidRDefault="00B44C2E" w:rsidP="00B44C2E">
      <w:r w:rsidRPr="003F3B0B">
        <w:t xml:space="preserve">The </w:t>
      </w:r>
      <w:proofErr w:type="spellStart"/>
      <w:r w:rsidRPr="003F3B0B">
        <w:rPr>
          <w:rFonts w:cs="Times New Roman"/>
          <w:i/>
        </w:rPr>
        <w:t>Δκ</w:t>
      </w:r>
      <w:proofErr w:type="spellEnd"/>
      <w:r w:rsidRPr="003F3B0B">
        <w:t>-</w:t>
      </w:r>
      <w:r w:rsidRPr="003F3B0B">
        <w:rPr>
          <w:rFonts w:cs="Times New Roman"/>
          <w:i/>
        </w:rPr>
        <w:t>δ</w:t>
      </w:r>
      <w:r w:rsidRPr="003F3B0B">
        <w:t xml:space="preserve"> relationships </w:t>
      </w:r>
      <w:r w:rsidRPr="003F3B0B">
        <w:rPr>
          <w:noProof/>
        </w:rPr>
        <w:t>shown</w:t>
      </w:r>
      <w:r w:rsidRPr="003F3B0B">
        <w:t xml:space="preserve"> above can be described by the following equations, for PS and GS:</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4"/>
        <w:gridCol w:w="7136"/>
        <w:gridCol w:w="850"/>
      </w:tblGrid>
      <w:tr w:rsidR="003F3B0B" w:rsidRPr="003F3B0B" w14:paraId="5F098E8E" w14:textId="77777777" w:rsidTr="00327B40">
        <w:tc>
          <w:tcPr>
            <w:tcW w:w="1194" w:type="dxa"/>
          </w:tcPr>
          <w:p w14:paraId="3588120A" w14:textId="77777777" w:rsidR="00B44C2E" w:rsidRPr="003F3B0B" w:rsidRDefault="00B44C2E" w:rsidP="00B44C2E">
            <w:pPr>
              <w:jc w:val="center"/>
            </w:pPr>
          </w:p>
        </w:tc>
        <w:tc>
          <w:tcPr>
            <w:tcW w:w="7136" w:type="dxa"/>
            <w:vAlign w:val="center"/>
          </w:tcPr>
          <w:p w14:paraId="4028D131" w14:textId="0367625C" w:rsidR="00B44C2E" w:rsidRPr="003F3B0B" w:rsidRDefault="00C47C78" w:rsidP="00B44C2E">
            <w:pPr>
              <w:jc w:val="center"/>
              <w:rPr>
                <w:rFonts w:cs="Times New Roman"/>
              </w:rPr>
            </w:pPr>
            <w:r w:rsidRPr="003F3B0B">
              <w:rPr>
                <w:noProof/>
                <w:position w:val="-10"/>
                <w:lang w:eastAsia="en-IE"/>
              </w:rPr>
              <w:drawing>
                <wp:inline distT="0" distB="0" distL="0" distR="0" wp14:anchorId="12F83BBB" wp14:editId="7FDE04B4">
                  <wp:extent cx="1609725" cy="2381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9725" cy="238125"/>
                          </a:xfrm>
                          <a:prstGeom prst="rect">
                            <a:avLst/>
                          </a:prstGeom>
                          <a:noFill/>
                          <a:ln>
                            <a:noFill/>
                          </a:ln>
                        </pic:spPr>
                      </pic:pic>
                    </a:graphicData>
                  </a:graphic>
                </wp:inline>
              </w:drawing>
            </w:r>
            <w:r w:rsidR="00B44C2E" w:rsidRPr="003F3B0B">
              <w:t xml:space="preserve">  (PS)</w:t>
            </w:r>
          </w:p>
        </w:tc>
        <w:tc>
          <w:tcPr>
            <w:tcW w:w="850" w:type="dxa"/>
            <w:vAlign w:val="center"/>
          </w:tcPr>
          <w:p w14:paraId="78EE0A2E" w14:textId="77777777" w:rsidR="00B44C2E" w:rsidRPr="003F3B0B" w:rsidRDefault="003D3FD0" w:rsidP="00B44C2E">
            <w:pPr>
              <w:pStyle w:val="Caption"/>
              <w:spacing w:after="0"/>
              <w:jc w:val="right"/>
              <w:rPr>
                <w:rFonts w:ascii="Calibri" w:hAnsi="Calibri"/>
              </w:rPr>
            </w:pPr>
            <w:r w:rsidRPr="003F3B0B">
              <w:t>(</w:t>
            </w:r>
            <w:fldSimple w:instr=" SEQ 7. \* ARABIC ">
              <w:r w:rsidR="003D1AA2" w:rsidRPr="003F3B0B">
                <w:rPr>
                  <w:noProof/>
                </w:rPr>
                <w:t>16</w:t>
              </w:r>
            </w:fldSimple>
            <w:r w:rsidR="00B44C2E" w:rsidRPr="003F3B0B">
              <w:t>)</w:t>
            </w:r>
          </w:p>
        </w:tc>
      </w:tr>
      <w:tr w:rsidR="003F3B0B" w:rsidRPr="003F3B0B" w14:paraId="7605B993" w14:textId="77777777" w:rsidTr="00327B40">
        <w:tc>
          <w:tcPr>
            <w:tcW w:w="1194" w:type="dxa"/>
          </w:tcPr>
          <w:p w14:paraId="0CAEC391" w14:textId="77777777" w:rsidR="00B44C2E" w:rsidRPr="003F3B0B" w:rsidRDefault="00B44C2E" w:rsidP="00B44C2E">
            <w:pPr>
              <w:jc w:val="center"/>
            </w:pPr>
          </w:p>
        </w:tc>
        <w:tc>
          <w:tcPr>
            <w:tcW w:w="7136" w:type="dxa"/>
            <w:vAlign w:val="center"/>
          </w:tcPr>
          <w:p w14:paraId="27914D52" w14:textId="2A3E43D9" w:rsidR="00B44C2E" w:rsidRPr="003F3B0B" w:rsidRDefault="00C47C78" w:rsidP="00B44C2E">
            <w:pPr>
              <w:jc w:val="center"/>
              <w:rPr>
                <w:rFonts w:cs="Times New Roman"/>
              </w:rPr>
            </w:pPr>
            <w:r w:rsidRPr="003F3B0B">
              <w:rPr>
                <w:noProof/>
                <w:position w:val="-10"/>
                <w:lang w:eastAsia="en-IE"/>
              </w:rPr>
              <w:drawing>
                <wp:inline distT="0" distB="0" distL="0" distR="0" wp14:anchorId="40821FA5" wp14:editId="0208E4CD">
                  <wp:extent cx="990600" cy="2381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0600" cy="238125"/>
                          </a:xfrm>
                          <a:prstGeom prst="rect">
                            <a:avLst/>
                          </a:prstGeom>
                          <a:noFill/>
                          <a:ln>
                            <a:noFill/>
                          </a:ln>
                        </pic:spPr>
                      </pic:pic>
                    </a:graphicData>
                  </a:graphic>
                </wp:inline>
              </w:drawing>
            </w:r>
            <w:r w:rsidR="00B44C2E" w:rsidRPr="003F3B0B">
              <w:t xml:space="preserve">  (GS)</w:t>
            </w:r>
          </w:p>
        </w:tc>
        <w:tc>
          <w:tcPr>
            <w:tcW w:w="850" w:type="dxa"/>
            <w:vAlign w:val="center"/>
          </w:tcPr>
          <w:p w14:paraId="0C500CBF" w14:textId="77777777" w:rsidR="00B44C2E" w:rsidRPr="003F3B0B" w:rsidRDefault="003D3FD0" w:rsidP="00B44C2E">
            <w:pPr>
              <w:pStyle w:val="Caption"/>
              <w:spacing w:after="0"/>
              <w:jc w:val="right"/>
              <w:rPr>
                <w:rFonts w:ascii="Calibri" w:hAnsi="Calibri"/>
              </w:rPr>
            </w:pPr>
            <w:r w:rsidRPr="003F3B0B">
              <w:t>(</w:t>
            </w:r>
            <w:fldSimple w:instr=" SEQ 7. \* ARABIC ">
              <w:r w:rsidR="003D1AA2" w:rsidRPr="003F3B0B">
                <w:rPr>
                  <w:noProof/>
                </w:rPr>
                <w:t>17</w:t>
              </w:r>
            </w:fldSimple>
            <w:r w:rsidR="00B44C2E" w:rsidRPr="003F3B0B">
              <w:t>)</w:t>
            </w:r>
          </w:p>
        </w:tc>
      </w:tr>
    </w:tbl>
    <w:p w14:paraId="54AD3376" w14:textId="2AA22659" w:rsidR="00B44C2E" w:rsidRPr="003F3B0B" w:rsidRDefault="00B44C2E" w:rsidP="00B44C2E">
      <w:proofErr w:type="gramStart"/>
      <w:r w:rsidRPr="003F3B0B">
        <w:t>where</w:t>
      </w:r>
      <w:proofErr w:type="gramEnd"/>
      <w:r w:rsidRPr="003F3B0B">
        <w:t xml:space="preserve"> </w:t>
      </w:r>
      <w:r w:rsidRPr="003F3B0B">
        <w:rPr>
          <w:i/>
        </w:rPr>
        <w:t>A</w:t>
      </w:r>
      <w:r w:rsidRPr="003F3B0B">
        <w:t xml:space="preserve">, </w:t>
      </w:r>
      <w:r w:rsidRPr="003F3B0B">
        <w:rPr>
          <w:i/>
        </w:rPr>
        <w:t>B</w:t>
      </w:r>
      <w:r w:rsidRPr="003F3B0B">
        <w:t xml:space="preserve">, and </w:t>
      </w:r>
      <w:r w:rsidRPr="003F3B0B">
        <w:rPr>
          <w:i/>
        </w:rPr>
        <w:t>C</w:t>
      </w:r>
      <w:r w:rsidRPr="003F3B0B">
        <w:t xml:space="preserve"> for each riser geometry and nub groove sliding regime are given in</w:t>
      </w:r>
      <w:r w:rsidR="003D3FD0" w:rsidRPr="003F3B0B">
        <w:t xml:space="preserve"> </w:t>
      </w:r>
      <w:r w:rsidR="003D3FD0" w:rsidRPr="003F3B0B">
        <w:fldChar w:fldCharType="begin"/>
      </w:r>
      <w:r w:rsidR="003D3FD0" w:rsidRPr="003F3B0B">
        <w:instrText xml:space="preserve"> REF _Ref11249936 \h </w:instrText>
      </w:r>
      <w:r w:rsidR="003D3FD0" w:rsidRPr="003F3B0B">
        <w:fldChar w:fldCharType="separate"/>
      </w:r>
      <w:r w:rsidR="003D1AA2" w:rsidRPr="003F3B0B">
        <w:t xml:space="preserve">Table </w:t>
      </w:r>
      <w:r w:rsidR="003D1AA2" w:rsidRPr="003F3B0B">
        <w:rPr>
          <w:noProof/>
        </w:rPr>
        <w:t>6</w:t>
      </w:r>
      <w:r w:rsidR="003D3FD0" w:rsidRPr="003F3B0B">
        <w:fldChar w:fldCharType="end"/>
      </w:r>
      <w:r w:rsidRPr="003F3B0B">
        <w:t xml:space="preserve">. </w:t>
      </w:r>
      <w:r w:rsidR="0001718E" w:rsidRPr="003F3B0B">
        <w:t xml:space="preserve">The values of </w:t>
      </w:r>
      <w:proofErr w:type="spellStart"/>
      <w:r w:rsidR="0001718E" w:rsidRPr="003F3B0B">
        <w:rPr>
          <w:rFonts w:cs="Times New Roman"/>
          <w:i/>
        </w:rPr>
        <w:t>Δκ</w:t>
      </w:r>
      <w:r w:rsidR="0001718E" w:rsidRPr="003F3B0B">
        <w:rPr>
          <w:rFonts w:cs="Times New Roman"/>
          <w:vertAlign w:val="subscript"/>
        </w:rPr>
        <w:t>th</w:t>
      </w:r>
      <w:proofErr w:type="spellEnd"/>
      <w:r w:rsidR="0001718E" w:rsidRPr="003F3B0B">
        <w:rPr>
          <w:rFonts w:cs="Times New Roman"/>
        </w:rPr>
        <w:t xml:space="preserve"> are also provided in </w:t>
      </w:r>
      <w:r w:rsidR="0001718E" w:rsidRPr="003F3B0B">
        <w:rPr>
          <w:rFonts w:cs="Times New Roman"/>
        </w:rPr>
        <w:fldChar w:fldCharType="begin"/>
      </w:r>
      <w:r w:rsidR="0001718E" w:rsidRPr="003F3B0B">
        <w:rPr>
          <w:rFonts w:cs="Times New Roman"/>
        </w:rPr>
        <w:instrText xml:space="preserve"> REF _Ref11249936 \h </w:instrText>
      </w:r>
      <w:r w:rsidR="0001718E" w:rsidRPr="003F3B0B">
        <w:rPr>
          <w:rFonts w:cs="Times New Roman"/>
        </w:rPr>
      </w:r>
      <w:r w:rsidR="0001718E" w:rsidRPr="003F3B0B">
        <w:rPr>
          <w:rFonts w:cs="Times New Roman"/>
        </w:rPr>
        <w:fldChar w:fldCharType="separate"/>
      </w:r>
      <w:r w:rsidR="003D1AA2" w:rsidRPr="003F3B0B">
        <w:t xml:space="preserve">Table </w:t>
      </w:r>
      <w:r w:rsidR="003D1AA2" w:rsidRPr="003F3B0B">
        <w:rPr>
          <w:noProof/>
        </w:rPr>
        <w:t>6</w:t>
      </w:r>
      <w:r w:rsidR="0001718E" w:rsidRPr="003F3B0B">
        <w:rPr>
          <w:rFonts w:cs="Times New Roman"/>
        </w:rPr>
        <w:fldChar w:fldCharType="end"/>
      </w:r>
      <w:r w:rsidR="0001718E" w:rsidRPr="003F3B0B">
        <w:t xml:space="preserve">. </w:t>
      </w:r>
      <w:r w:rsidRPr="003F3B0B">
        <w:t xml:space="preserve">Partial slip occurs at </w:t>
      </w:r>
      <w:proofErr w:type="spellStart"/>
      <w:r w:rsidRPr="003F3B0B">
        <w:rPr>
          <w:rFonts w:cs="Times New Roman"/>
          <w:i/>
        </w:rPr>
        <w:t>Δκ</w:t>
      </w:r>
      <w:proofErr w:type="spellEnd"/>
      <w:r w:rsidRPr="003F3B0B">
        <w:rPr>
          <w:rFonts w:cs="Times New Roman"/>
          <w:i/>
        </w:rPr>
        <w:t xml:space="preserve"> </w:t>
      </w:r>
      <w:r w:rsidRPr="003F3B0B">
        <w:rPr>
          <w:rFonts w:cs="Times New Roman"/>
        </w:rPr>
        <w:t>values less than</w:t>
      </w:r>
      <w:r w:rsidRPr="003F3B0B">
        <w:t xml:space="preserve"> </w:t>
      </w:r>
      <w:proofErr w:type="spellStart"/>
      <w:r w:rsidRPr="003F3B0B">
        <w:rPr>
          <w:rFonts w:cs="Times New Roman"/>
          <w:i/>
        </w:rPr>
        <w:t>Δκ</w:t>
      </w:r>
      <w:r w:rsidRPr="003F3B0B">
        <w:rPr>
          <w:rFonts w:cs="Times New Roman"/>
          <w:vertAlign w:val="subscript"/>
        </w:rPr>
        <w:t>th</w:t>
      </w:r>
      <w:proofErr w:type="spellEnd"/>
      <w:r w:rsidRPr="003F3B0B">
        <w:rPr>
          <w:rFonts w:cs="Times New Roman"/>
        </w:rPr>
        <w:t>.</w:t>
      </w:r>
    </w:p>
    <w:p w14:paraId="68B0FAC8" w14:textId="77777777" w:rsidR="00B44C2E" w:rsidRPr="003F3B0B" w:rsidRDefault="00B44C2E" w:rsidP="00B44C2E">
      <w:r w:rsidRPr="003F3B0B">
        <w:t xml:space="preserve">The predictive methodology has been applied to the various dynamic load cases for each riser diameter. The results for maximum predicted slip for each riser are shown in </w:t>
      </w:r>
      <w:r w:rsidR="003D3FD0" w:rsidRPr="003F3B0B">
        <w:fldChar w:fldCharType="begin"/>
      </w:r>
      <w:r w:rsidR="003D3FD0" w:rsidRPr="003F3B0B">
        <w:instrText xml:space="preserve"> REF _Ref11249966 \h </w:instrText>
      </w:r>
      <w:r w:rsidR="003D3FD0" w:rsidRPr="003F3B0B">
        <w:fldChar w:fldCharType="separate"/>
      </w:r>
      <w:r w:rsidR="003D1AA2" w:rsidRPr="003F3B0B">
        <w:t xml:space="preserve">Table </w:t>
      </w:r>
      <w:r w:rsidR="003D1AA2" w:rsidRPr="003F3B0B">
        <w:rPr>
          <w:noProof/>
        </w:rPr>
        <w:t>7</w:t>
      </w:r>
      <w:r w:rsidR="003D3FD0" w:rsidRPr="003F3B0B">
        <w:fldChar w:fldCharType="end"/>
      </w:r>
      <w:r w:rsidR="003D3FD0" w:rsidRPr="003F3B0B">
        <w:t xml:space="preserve">. </w:t>
      </w:r>
      <w:r w:rsidRPr="003F3B0B">
        <w:t xml:space="preserve">For the minimum loading conditions along the riser lengths, stick is predicted, whereas for the maximum conditions along the riser lengths, gross slip is typically predicted. Therefore, </w:t>
      </w:r>
      <w:r w:rsidRPr="003F3B0B">
        <w:rPr>
          <w:noProof/>
        </w:rPr>
        <w:t>along</w:t>
      </w:r>
      <w:r w:rsidRPr="003F3B0B">
        <w:t xml:space="preserve"> the riser length, stick, partial slip and gross slip conditions are experienced for most load cases. Load case 5 results in maximum nub-groove contact displacements closest to PS-GS transition. Typically, the larger wave heights (see </w:t>
      </w:r>
      <w:r w:rsidR="003D3FD0" w:rsidRPr="003F3B0B">
        <w:fldChar w:fldCharType="begin"/>
      </w:r>
      <w:r w:rsidR="003D3FD0" w:rsidRPr="003F3B0B">
        <w:instrText xml:space="preserve"> REF _Ref11249904 \h </w:instrText>
      </w:r>
      <w:r w:rsidR="003D3FD0" w:rsidRPr="003F3B0B">
        <w:fldChar w:fldCharType="separate"/>
      </w:r>
      <w:r w:rsidR="003D1AA2" w:rsidRPr="003F3B0B">
        <w:t xml:space="preserve">Table </w:t>
      </w:r>
      <w:r w:rsidR="003D1AA2" w:rsidRPr="003F3B0B">
        <w:rPr>
          <w:noProof/>
        </w:rPr>
        <w:t>3</w:t>
      </w:r>
      <w:r w:rsidR="003D3FD0" w:rsidRPr="003F3B0B">
        <w:fldChar w:fldCharType="end"/>
      </w:r>
      <w:r w:rsidRPr="003F3B0B">
        <w:t xml:space="preserve">) result in larger nub-groove </w:t>
      </w:r>
      <w:r w:rsidRPr="003F3B0B">
        <w:lastRenderedPageBreak/>
        <w:t>slips, i.e. load cases 1 to 3; this is due to larger vessel and SLHR motions associated with wave loading, and hence, larger global riser dynamic motions occur compared to load cases with lower wave heights, i.e. load cases 4 to 6.</w:t>
      </w:r>
    </w:p>
    <w:p w14:paraId="6891B3C7" w14:textId="77777777" w:rsidR="00B44C2E" w:rsidRPr="003F3B0B" w:rsidRDefault="00B44C2E" w:rsidP="00B44C2E"/>
    <w:p w14:paraId="38AAD36D" w14:textId="77777777" w:rsidR="00E70C83" w:rsidRPr="003F3B0B" w:rsidRDefault="00E70C83" w:rsidP="00E70C83">
      <w:pPr>
        <w:pStyle w:val="Heading2"/>
      </w:pPr>
      <w:r w:rsidRPr="003F3B0B">
        <w:t xml:space="preserve">Predicted life to crack initiation </w:t>
      </w:r>
    </w:p>
    <w:p w14:paraId="0C7DD94A" w14:textId="7732E9FE" w:rsidR="00B44C2E" w:rsidRPr="003F3B0B" w:rsidRDefault="00D93D30" w:rsidP="00B44C2E">
      <w:r w:rsidRPr="003F3B0B">
        <w:fldChar w:fldCharType="begin"/>
      </w:r>
      <w:r w:rsidRPr="003F3B0B">
        <w:instrText xml:space="preserve"> REF _Ref11249266 \h </w:instrText>
      </w:r>
      <w:r w:rsidRPr="003F3B0B">
        <w:fldChar w:fldCharType="separate"/>
      </w:r>
      <w:r w:rsidR="003D1AA2" w:rsidRPr="003F3B0B">
        <w:t xml:space="preserve">Figure </w:t>
      </w:r>
      <w:r w:rsidR="003D1AA2" w:rsidRPr="003F3B0B">
        <w:rPr>
          <w:noProof/>
        </w:rPr>
        <w:t>11</w:t>
      </w:r>
      <w:r w:rsidRPr="003F3B0B">
        <w:fldChar w:fldCharType="end"/>
      </w:r>
      <w:r w:rsidRPr="003F3B0B">
        <w:t xml:space="preserve"> </w:t>
      </w:r>
      <w:r w:rsidR="00B44C2E" w:rsidRPr="003F3B0B">
        <w:t xml:space="preserve">presents the predicted </w:t>
      </w:r>
      <w:r w:rsidR="00B44C2E" w:rsidRPr="003F3B0B">
        <w:rPr>
          <w:noProof/>
        </w:rPr>
        <w:t>number</w:t>
      </w:r>
      <w:r w:rsidR="00B44C2E" w:rsidRPr="003F3B0B">
        <w:t xml:space="preserve"> of cycles to crack initiation </w:t>
      </w:r>
      <w:r w:rsidR="0001718E" w:rsidRPr="003F3B0B">
        <w:t xml:space="preserve">versus </w:t>
      </w:r>
      <w:r w:rsidR="00B44C2E" w:rsidRPr="003F3B0B">
        <w:t xml:space="preserve">nub-groove displacement for all three risers. At lower contact slips (&lt; 2 </w:t>
      </w:r>
      <w:proofErr w:type="spellStart"/>
      <w:r w:rsidR="00B44C2E" w:rsidRPr="003F3B0B">
        <w:rPr>
          <w:rFonts w:cs="Times New Roman"/>
        </w:rPr>
        <w:t>μ</w:t>
      </w:r>
      <w:r w:rsidR="00B44C2E" w:rsidRPr="003F3B0B">
        <w:t>m</w:t>
      </w:r>
      <w:proofErr w:type="spellEnd"/>
      <w:r w:rsidR="00B44C2E" w:rsidRPr="003F3B0B">
        <w:t xml:space="preserve">) the 11 inch riser is most critical (lower predicted life); however, as contact slip increases (&gt; 4 </w:t>
      </w:r>
      <w:proofErr w:type="spellStart"/>
      <w:r w:rsidR="00B44C2E" w:rsidRPr="003F3B0B">
        <w:rPr>
          <w:rFonts w:cs="Times New Roman"/>
        </w:rPr>
        <w:t>μ</w:t>
      </w:r>
      <w:r w:rsidR="00B44C2E" w:rsidRPr="003F3B0B">
        <w:t>m</w:t>
      </w:r>
      <w:proofErr w:type="spellEnd"/>
      <w:r w:rsidR="00B44C2E" w:rsidRPr="003F3B0B">
        <w:t>)</w:t>
      </w:r>
      <w:proofErr w:type="gramStart"/>
      <w:r w:rsidR="00B44C2E" w:rsidRPr="003F3B0B">
        <w:t>,</w:t>
      </w:r>
      <w:proofErr w:type="gramEnd"/>
      <w:r w:rsidR="00B44C2E" w:rsidRPr="003F3B0B">
        <w:t xml:space="preserve"> the 6 inch riser is more critical in terms of predicted number of cycles to crack initiation. </w:t>
      </w:r>
    </w:p>
    <w:p w14:paraId="53059372" w14:textId="2F7108D6" w:rsidR="00B44C2E" w:rsidRPr="003F3B0B" w:rsidRDefault="00D93D30" w:rsidP="00B44C2E">
      <w:r w:rsidRPr="003F3B0B">
        <w:fldChar w:fldCharType="begin"/>
      </w:r>
      <w:r w:rsidRPr="003F3B0B">
        <w:instrText xml:space="preserve"> REF _Ref11249292 \h </w:instrText>
      </w:r>
      <w:r w:rsidRPr="003F3B0B">
        <w:fldChar w:fldCharType="separate"/>
      </w:r>
      <w:r w:rsidR="003D1AA2" w:rsidRPr="003F3B0B">
        <w:t xml:space="preserve">Figure </w:t>
      </w:r>
      <w:r w:rsidR="003D1AA2" w:rsidRPr="003F3B0B">
        <w:rPr>
          <w:noProof/>
        </w:rPr>
        <w:t>12</w:t>
      </w:r>
      <w:r w:rsidRPr="003F3B0B">
        <w:fldChar w:fldCharType="end"/>
      </w:r>
      <w:r w:rsidRPr="003F3B0B">
        <w:t xml:space="preserve"> </w:t>
      </w:r>
      <w:r w:rsidR="00B44C2E" w:rsidRPr="003F3B0B">
        <w:t xml:space="preserve">presents the effect of riser curvature range, </w:t>
      </w:r>
      <w:proofErr w:type="spellStart"/>
      <w:r w:rsidR="00B44C2E" w:rsidRPr="003F3B0B">
        <w:rPr>
          <w:rFonts w:cs="Times New Roman"/>
          <w:i/>
        </w:rPr>
        <w:t>Δκ</w:t>
      </w:r>
      <w:proofErr w:type="spellEnd"/>
      <w:r w:rsidR="00B44C2E" w:rsidRPr="003F3B0B">
        <w:t xml:space="preserve">, on predicted </w:t>
      </w:r>
      <w:r w:rsidR="00B44C2E" w:rsidRPr="003F3B0B">
        <w:rPr>
          <w:noProof/>
        </w:rPr>
        <w:t>number</w:t>
      </w:r>
      <w:r w:rsidR="00B44C2E" w:rsidRPr="003F3B0B">
        <w:t xml:space="preserve"> of cycles to crack</w:t>
      </w:r>
      <w:r w:rsidR="00B44C2E" w:rsidRPr="003F3B0B">
        <w:rPr>
          <w:rFonts w:eastAsiaTheme="minorEastAsia"/>
        </w:rPr>
        <w:t xml:space="preserve"> initiation </w:t>
      </w:r>
      <w:r w:rsidR="00B44C2E" w:rsidRPr="003F3B0B">
        <w:t xml:space="preserve">for all three risers. The difference between the riser configurations can be clearly seen. The PS regime occurs at much lower curvatures for the larger diameter risers (11 inch and 9 inch) than for the smaller diameter riser (6 inch). This is due to the different curvature-slip relationships for each riser, as shown in </w:t>
      </w:r>
      <w:r w:rsidR="007E7D57" w:rsidRPr="003F3B0B">
        <w:fldChar w:fldCharType="begin"/>
      </w:r>
      <w:r w:rsidR="007E7D57" w:rsidRPr="003F3B0B">
        <w:instrText xml:space="preserve"> REF _Ref11248848 \h </w:instrText>
      </w:r>
      <w:r w:rsidR="007E7D57" w:rsidRPr="003F3B0B">
        <w:fldChar w:fldCharType="separate"/>
      </w:r>
      <w:r w:rsidR="003D1AA2" w:rsidRPr="003F3B0B">
        <w:t xml:space="preserve">Figure </w:t>
      </w:r>
      <w:r w:rsidR="003D1AA2" w:rsidRPr="003F3B0B">
        <w:rPr>
          <w:noProof/>
        </w:rPr>
        <w:t>10</w:t>
      </w:r>
      <w:r w:rsidR="007E7D57" w:rsidRPr="003F3B0B">
        <w:fldChar w:fldCharType="end"/>
      </w:r>
      <w:r w:rsidR="00B44C2E" w:rsidRPr="003F3B0B">
        <w:t xml:space="preserve">. </w:t>
      </w:r>
      <w:r w:rsidRPr="003F3B0B">
        <w:fldChar w:fldCharType="begin"/>
      </w:r>
      <w:r w:rsidRPr="003F3B0B">
        <w:instrText xml:space="preserve"> REF _Ref11249292 \h </w:instrText>
      </w:r>
      <w:r w:rsidRPr="003F3B0B">
        <w:fldChar w:fldCharType="separate"/>
      </w:r>
      <w:r w:rsidR="003D1AA2" w:rsidRPr="003F3B0B">
        <w:t xml:space="preserve">Figure </w:t>
      </w:r>
      <w:r w:rsidR="003D1AA2" w:rsidRPr="003F3B0B">
        <w:rPr>
          <w:noProof/>
        </w:rPr>
        <w:t>12</w:t>
      </w:r>
      <w:r w:rsidRPr="003F3B0B">
        <w:fldChar w:fldCharType="end"/>
      </w:r>
      <w:r w:rsidRPr="003F3B0B">
        <w:t xml:space="preserve"> </w:t>
      </w:r>
      <w:r w:rsidR="00B44C2E" w:rsidRPr="003F3B0B">
        <w:t>is an example of a RCFM; this can be used to identify the number of cycles to crack initiation from global riser curvature response.</w:t>
      </w:r>
    </w:p>
    <w:p w14:paraId="17F652A9" w14:textId="54871B82" w:rsidR="00B44C2E" w:rsidRPr="003F3B0B" w:rsidRDefault="00D93D30" w:rsidP="00B44C2E">
      <w:r w:rsidRPr="003F3B0B">
        <w:fldChar w:fldCharType="begin"/>
      </w:r>
      <w:r w:rsidRPr="003F3B0B">
        <w:instrText xml:space="preserve"> REF _Ref11249292 \h </w:instrText>
      </w:r>
      <w:r w:rsidRPr="003F3B0B">
        <w:fldChar w:fldCharType="separate"/>
      </w:r>
      <w:r w:rsidR="003D1AA2" w:rsidRPr="003F3B0B">
        <w:t xml:space="preserve">Figure </w:t>
      </w:r>
      <w:r w:rsidR="003D1AA2" w:rsidRPr="003F3B0B">
        <w:rPr>
          <w:noProof/>
        </w:rPr>
        <w:t>12</w:t>
      </w:r>
      <w:r w:rsidRPr="003F3B0B">
        <w:fldChar w:fldCharType="end"/>
      </w:r>
      <w:r w:rsidRPr="003F3B0B">
        <w:t xml:space="preserve"> </w:t>
      </w:r>
      <w:r w:rsidR="00B44C2E" w:rsidRPr="003F3B0B">
        <w:t>also shows critical curvature range (</w:t>
      </w:r>
      <w:proofErr w:type="spellStart"/>
      <w:r w:rsidR="00B44C2E" w:rsidRPr="003F3B0B">
        <w:rPr>
          <w:rFonts w:cs="Times New Roman"/>
          <w:i/>
        </w:rPr>
        <w:t>Δκ</w:t>
      </w:r>
      <w:r w:rsidR="00B44C2E" w:rsidRPr="003F3B0B">
        <w:rPr>
          <w:vertAlign w:val="subscript"/>
        </w:rPr>
        <w:t>crit</w:t>
      </w:r>
      <w:proofErr w:type="spellEnd"/>
      <w:r w:rsidR="00B44C2E" w:rsidRPr="003F3B0B">
        <w:t>) that relate to lower predicted lives (</w:t>
      </w:r>
      <w:r w:rsidR="00B44C2E" w:rsidRPr="003F3B0B">
        <w:rPr>
          <w:i/>
        </w:rPr>
        <w:t>N</w:t>
      </w:r>
      <w:r w:rsidR="00B44C2E" w:rsidRPr="003F3B0B">
        <w:rPr>
          <w:vertAlign w:val="subscript"/>
        </w:rPr>
        <w:t>i</w:t>
      </w:r>
      <w:r w:rsidR="00B44C2E" w:rsidRPr="003F3B0B">
        <w:t xml:space="preserve"> &lt; 5 × 10</w:t>
      </w:r>
      <w:r w:rsidR="00B44C2E" w:rsidRPr="003F3B0B">
        <w:rPr>
          <w:vertAlign w:val="superscript"/>
        </w:rPr>
        <w:t>4</w:t>
      </w:r>
      <w:r w:rsidR="00B44C2E" w:rsidRPr="003F3B0B">
        <w:t xml:space="preserve">) for each riser. The smaller diameter (6 inch) riser has </w:t>
      </w:r>
      <w:proofErr w:type="gramStart"/>
      <w:r w:rsidR="00B44C2E" w:rsidRPr="003F3B0B">
        <w:t>a large range</w:t>
      </w:r>
      <w:r w:rsidR="00AA48C7" w:rsidRPr="003F3B0B">
        <w:t>s</w:t>
      </w:r>
      <w:proofErr w:type="gramEnd"/>
      <w:r w:rsidR="00B44C2E" w:rsidRPr="003F3B0B">
        <w:t xml:space="preserve"> of </w:t>
      </w:r>
      <w:proofErr w:type="spellStart"/>
      <w:r w:rsidR="00B44C2E" w:rsidRPr="003F3B0B">
        <w:rPr>
          <w:rFonts w:cs="Times New Roman"/>
          <w:i/>
        </w:rPr>
        <w:t>Δκ</w:t>
      </w:r>
      <w:r w:rsidR="00B44C2E" w:rsidRPr="003F3B0B">
        <w:rPr>
          <w:vertAlign w:val="subscript"/>
        </w:rPr>
        <w:t>crit</w:t>
      </w:r>
      <w:proofErr w:type="spellEnd"/>
      <w:r w:rsidR="00B44C2E" w:rsidRPr="003F3B0B">
        <w:t xml:space="preserve"> than the larger diameter risers (9 inch and 11 inch). These </w:t>
      </w:r>
      <w:proofErr w:type="spellStart"/>
      <w:r w:rsidR="00B44C2E" w:rsidRPr="003F3B0B">
        <w:rPr>
          <w:rFonts w:cs="Times New Roman"/>
          <w:i/>
        </w:rPr>
        <w:t>Δκ</w:t>
      </w:r>
      <w:r w:rsidR="00B44C2E" w:rsidRPr="003F3B0B">
        <w:rPr>
          <w:vertAlign w:val="subscript"/>
        </w:rPr>
        <w:t>crit</w:t>
      </w:r>
      <w:proofErr w:type="spellEnd"/>
      <w:r w:rsidR="00B44C2E" w:rsidRPr="003F3B0B">
        <w:t xml:space="preserve"> values can be used in conjunction with global riser analysis results (from </w:t>
      </w:r>
      <w:r w:rsidR="0001718E" w:rsidRPr="003F3B0B">
        <w:t>global riser analysis</w:t>
      </w:r>
      <w:r w:rsidR="00B44C2E" w:rsidRPr="003F3B0B">
        <w:t xml:space="preserve">) to identify locations of the riser where fretting fatigue cracking </w:t>
      </w:r>
      <w:r w:rsidR="00AA48C7" w:rsidRPr="003F3B0B">
        <w:t>is</w:t>
      </w:r>
      <w:r w:rsidR="00B44C2E" w:rsidRPr="003F3B0B">
        <w:t xml:space="preserve"> likely to occur. For all load cases, </w:t>
      </w:r>
      <m:oMath>
        <m:sSub>
          <m:sSubPr>
            <m:ctrlPr>
              <w:rPr>
                <w:rFonts w:ascii="Cambria Math" w:hAnsi="Cambria Math"/>
                <w:i/>
              </w:rPr>
            </m:ctrlPr>
          </m:sSubPr>
          <m:e>
            <m:r>
              <w:rPr>
                <w:rFonts w:ascii="Cambria Math" w:hAnsi="Cambria Math"/>
              </w:rPr>
              <m:t>Δκ</m:t>
            </m:r>
          </m:e>
          <m:sub>
            <m:r>
              <w:rPr>
                <w:rFonts w:ascii="Cambria Math" w:hAnsi="Cambria Math"/>
              </w:rPr>
              <m:t>crit</m:t>
            </m:r>
          </m:sub>
        </m:sSub>
      </m:oMath>
      <w:r w:rsidR="00B44C2E" w:rsidRPr="003F3B0B">
        <w:rPr>
          <w:rFonts w:eastAsiaTheme="minorEastAsia"/>
        </w:rPr>
        <w:t xml:space="preserve"> </w:t>
      </w:r>
      <w:r w:rsidR="00B44C2E" w:rsidRPr="003F3B0B">
        <w:t xml:space="preserve">occurs closest to the SLHR hang-off point (between 0.1 m and 5 m from hang-off point) for each of the risers. It must be noted that these values for </w:t>
      </w:r>
      <w:proofErr w:type="spellStart"/>
      <w:r w:rsidR="00B44C2E" w:rsidRPr="003F3B0B">
        <w:rPr>
          <w:rFonts w:cs="Times New Roman"/>
          <w:i/>
        </w:rPr>
        <w:t>Δκ</w:t>
      </w:r>
      <w:r w:rsidR="00B44C2E" w:rsidRPr="003F3B0B">
        <w:rPr>
          <w:vertAlign w:val="subscript"/>
        </w:rPr>
        <w:t>crit</w:t>
      </w:r>
      <w:proofErr w:type="spellEnd"/>
      <w:r w:rsidR="00B44C2E" w:rsidRPr="003F3B0B">
        <w:t xml:space="preserve"> are specific to each of these risers under the loading conditions outlined above and with a nub-groove </w:t>
      </w:r>
      <w:proofErr w:type="spellStart"/>
      <w:r w:rsidR="00B44C2E" w:rsidRPr="003F3B0B">
        <w:t>CoF</w:t>
      </w:r>
      <w:proofErr w:type="spellEnd"/>
      <w:r w:rsidR="00B44C2E" w:rsidRPr="003F3B0B">
        <w:t xml:space="preserve"> of 0.7. </w:t>
      </w:r>
    </w:p>
    <w:p w14:paraId="76376827" w14:textId="77777777" w:rsidR="00E70C83" w:rsidRPr="003F3B0B" w:rsidRDefault="00E70C83" w:rsidP="00E70C83"/>
    <w:p w14:paraId="46A3A923" w14:textId="77777777" w:rsidR="00E70C83" w:rsidRPr="003F3B0B" w:rsidRDefault="00E70C83" w:rsidP="00E70C83">
      <w:pPr>
        <w:pStyle w:val="Heading2"/>
      </w:pPr>
      <w:r w:rsidRPr="003F3B0B">
        <w:t>Predicted crack propagation</w:t>
      </w:r>
    </w:p>
    <w:p w14:paraId="0F9C7F0E" w14:textId="302C2F78" w:rsidR="00B44C2E" w:rsidRPr="003F3B0B" w:rsidRDefault="007D082D" w:rsidP="00B44C2E">
      <w:r w:rsidRPr="003F3B0B">
        <w:fldChar w:fldCharType="begin"/>
      </w:r>
      <w:r w:rsidRPr="003F3B0B">
        <w:instrText xml:space="preserve"> REF _Ref470007303 \h </w:instrText>
      </w:r>
      <w:r w:rsidRPr="003F3B0B">
        <w:fldChar w:fldCharType="separate"/>
      </w:r>
      <w:r w:rsidR="003D1AA2" w:rsidRPr="003F3B0B">
        <w:t xml:space="preserve">Figure </w:t>
      </w:r>
      <w:r w:rsidR="003D1AA2" w:rsidRPr="003F3B0B">
        <w:rPr>
          <w:noProof/>
        </w:rPr>
        <w:t>13</w:t>
      </w:r>
      <w:r w:rsidRPr="003F3B0B">
        <w:fldChar w:fldCharType="end"/>
      </w:r>
      <w:r w:rsidR="000A791A" w:rsidRPr="003F3B0B">
        <w:t xml:space="preserve"> </w:t>
      </w:r>
      <w:r w:rsidR="00B44C2E" w:rsidRPr="003F3B0B">
        <w:t xml:space="preserve">presents the predicted </w:t>
      </w:r>
      <w:r w:rsidR="00B44C2E" w:rsidRPr="003F3B0B">
        <w:rPr>
          <w:noProof/>
        </w:rPr>
        <w:t>number</w:t>
      </w:r>
      <w:r w:rsidR="00B44C2E" w:rsidRPr="003F3B0B">
        <w:t xml:space="preserve"> of cycles to crack initiation and propagation against nub-groove displacement for the 6 inch riser. Estimated propagation life is much longer than predicted initiation life (typically by two orders of magnitude). This is due to the fact that the high fretting stresses are highly localised close to the nub-groove contact surface</w:t>
      </w:r>
      <w:r w:rsidR="00723C3C" w:rsidRPr="003F3B0B">
        <w:t xml:space="preserve"> </w:t>
      </w:r>
      <w:r w:rsidR="00723C3C" w:rsidRPr="003F3B0B">
        <w:fldChar w:fldCharType="begin" w:fldLock="1"/>
      </w:r>
      <w:r w:rsidR="00EF5D3F" w:rsidRPr="003F3B0B">
        <w:instrText>ADDIN CSL_CITATION { "citationItems" : [ { "id" : "ITEM-1", "itemData" : { "DOI" : "10.1016/j.triboint.2016.02.040", "ISSN" : "0301679X", "abstract" : "This paper presents a computational methodology for frictional contact mechanics of the pressure armour layer in flexible risers. This will allow, for the first time, quantification of key fretting variables, such as contact pressure, relative slip and sub-surface stresses in this complex geometry, under representative loading conditions. Fatigue lives are calculated using the 3-dimensional critical plane Smith\u2013Watson\u2013Topper multiaxial fatigue parameter. It is shown that COF has a significant effect on predicted trailing-edge tensile stresses in the pressure armour layer and, hence on fretting crack initiation in risers. It is also shown that operating pressure and bending-induced axial displacement significantly affect predicted crack initiation. These results will facilitate representative fretting wear and fretting fatigue testing of pressure armour layer material.", "author" : [ { "dropping-particle" : "", "family" : "O\u2019Halloran", "given" : "S.M.", "non-dropping-particle" : "", "parse-names" : false, "suffix" : "" }, { "dropping-particle" : "", "family" : "Harte", "given" : "A.M.", "non-dropping-particle" : "", "parse-names" : false, "suffix" : "" }, { "dropping-particle" : "", "family" : "Connaire", "given" : "A.D.", "non-dropping-particle" : "", "parse-names" : false, "suffix" : "" }, { "dropping-particle" : "", "family" : "Leen", "given" : "S.B.", "non-dropping-particle" : "", "parse-names" : false, "suffix" : "" } ], "container-title" : "Tribology International", "id" : "ITEM-1", "issued" : { "date-parts" : [ [ "2016", "3" ] ] }, "page" : "306-316", "title" : "Modelling of fretting in the pressure armour layer of flexible marine risers", "type" : "article-journal", "volume" : "100" }, "uris" : [ "http://www.mendeley.com/documents/?uuid=b80948ad-fca6-4929-8343-b20fd51894bb" ] } ], "mendeley" : { "formattedCitation" : "[22]", "plainTextFormattedCitation" : "[22]", "previouslyFormattedCitation" : "[22]" }, "properties" : { "noteIndex" : 22 }, "schema" : "https://github.com/citation-style-language/schema/raw/master/csl-citation.json" }</w:instrText>
      </w:r>
      <w:r w:rsidR="00723C3C" w:rsidRPr="003F3B0B">
        <w:fldChar w:fldCharType="separate"/>
      </w:r>
      <w:r w:rsidR="00EF5D3F" w:rsidRPr="003F3B0B">
        <w:rPr>
          <w:noProof/>
        </w:rPr>
        <w:t>[22]</w:t>
      </w:r>
      <w:r w:rsidR="00723C3C" w:rsidRPr="003F3B0B">
        <w:fldChar w:fldCharType="end"/>
      </w:r>
      <w:r w:rsidR="00B44C2E" w:rsidRPr="003F3B0B">
        <w:t xml:space="preserve">, and therefore, have little influence as the crack propagates. </w:t>
      </w:r>
      <w:r w:rsidR="000A791A" w:rsidRPr="003F3B0B">
        <w:fldChar w:fldCharType="begin"/>
      </w:r>
      <w:r w:rsidR="000A791A" w:rsidRPr="003F3B0B">
        <w:instrText xml:space="preserve"> REF _Ref11249394 \h </w:instrText>
      </w:r>
      <w:r w:rsidR="000A791A" w:rsidRPr="003F3B0B">
        <w:fldChar w:fldCharType="separate"/>
      </w:r>
      <w:r w:rsidR="003D1AA2" w:rsidRPr="003F3B0B">
        <w:t xml:space="preserve">Figure </w:t>
      </w:r>
      <w:r w:rsidR="003D1AA2" w:rsidRPr="003F3B0B">
        <w:rPr>
          <w:noProof/>
        </w:rPr>
        <w:t>13</w:t>
      </w:r>
      <w:r w:rsidR="000A791A" w:rsidRPr="003F3B0B">
        <w:fldChar w:fldCharType="end"/>
      </w:r>
      <w:r w:rsidR="000A791A" w:rsidRPr="003F3B0B">
        <w:t xml:space="preserve"> </w:t>
      </w:r>
      <w:r w:rsidR="00B44C2E" w:rsidRPr="003F3B0B">
        <w:t xml:space="preserve">presents the effect of riser curvature range, </w:t>
      </w:r>
      <w:proofErr w:type="spellStart"/>
      <w:r w:rsidR="00B44C2E" w:rsidRPr="003F3B0B">
        <w:rPr>
          <w:rFonts w:cs="Times New Roman"/>
          <w:i/>
        </w:rPr>
        <w:t>Δκ</w:t>
      </w:r>
      <w:proofErr w:type="spellEnd"/>
      <w:r w:rsidR="00B44C2E" w:rsidRPr="003F3B0B">
        <w:t xml:space="preserve">, on predicted </w:t>
      </w:r>
      <w:r w:rsidR="00B44C2E" w:rsidRPr="003F3B0B">
        <w:rPr>
          <w:noProof/>
        </w:rPr>
        <w:t>number</w:t>
      </w:r>
      <w:r w:rsidR="00B44C2E" w:rsidRPr="003F3B0B">
        <w:t xml:space="preserve"> of cycles to crack</w:t>
      </w:r>
      <w:r w:rsidR="00B44C2E" w:rsidRPr="003F3B0B">
        <w:rPr>
          <w:rFonts w:eastAsiaTheme="minorEastAsia"/>
        </w:rPr>
        <w:t xml:space="preserve"> initiation and propagation </w:t>
      </w:r>
      <w:r w:rsidR="00B44C2E" w:rsidRPr="003F3B0B">
        <w:t xml:space="preserve">for the 6 inch riser. </w:t>
      </w:r>
      <w:r w:rsidR="000A791A" w:rsidRPr="003F3B0B">
        <w:fldChar w:fldCharType="begin"/>
      </w:r>
      <w:r w:rsidR="000A791A" w:rsidRPr="003F3B0B">
        <w:instrText xml:space="preserve"> REF _Ref11249421 \h </w:instrText>
      </w:r>
      <w:r w:rsidR="000A791A" w:rsidRPr="003F3B0B">
        <w:fldChar w:fldCharType="separate"/>
      </w:r>
      <w:r w:rsidR="003D1AA2" w:rsidRPr="003F3B0B">
        <w:t xml:space="preserve">Figure </w:t>
      </w:r>
      <w:r w:rsidR="003D1AA2" w:rsidRPr="003F3B0B">
        <w:rPr>
          <w:noProof/>
        </w:rPr>
        <w:t>14</w:t>
      </w:r>
      <w:r w:rsidR="000A791A" w:rsidRPr="003F3B0B">
        <w:fldChar w:fldCharType="end"/>
      </w:r>
      <w:r w:rsidR="000A791A" w:rsidRPr="003F3B0B">
        <w:t xml:space="preserve"> </w:t>
      </w:r>
      <w:r w:rsidR="00B44C2E" w:rsidRPr="003F3B0B">
        <w:t xml:space="preserve">presents the effect of riser curvature range, </w:t>
      </w:r>
      <w:proofErr w:type="spellStart"/>
      <w:r w:rsidR="00B44C2E" w:rsidRPr="003F3B0B">
        <w:rPr>
          <w:rFonts w:cs="Times New Roman"/>
          <w:i/>
        </w:rPr>
        <w:t>Δκ</w:t>
      </w:r>
      <w:proofErr w:type="spellEnd"/>
      <w:r w:rsidR="00B44C2E" w:rsidRPr="003F3B0B">
        <w:t xml:space="preserve">, on predicted </w:t>
      </w:r>
      <w:r w:rsidR="00B44C2E" w:rsidRPr="003F3B0B">
        <w:rPr>
          <w:noProof/>
        </w:rPr>
        <w:t>number</w:t>
      </w:r>
      <w:r w:rsidR="00B44C2E" w:rsidRPr="003F3B0B">
        <w:t xml:space="preserve"> of cycles to crack</w:t>
      </w:r>
      <w:r w:rsidR="00B44C2E" w:rsidRPr="003F3B0B">
        <w:rPr>
          <w:rFonts w:eastAsiaTheme="minorEastAsia"/>
        </w:rPr>
        <w:t xml:space="preserve"> initiation and propagation </w:t>
      </w:r>
      <w:r w:rsidR="00B44C2E" w:rsidRPr="003F3B0B">
        <w:t>for all risers. This is an example of a RCFM and can be used to identify the number of cycles to failure from global riser dynamic response.</w:t>
      </w:r>
    </w:p>
    <w:p w14:paraId="0D061E89" w14:textId="3ADECFCD" w:rsidR="002F7743" w:rsidRPr="003F3B0B" w:rsidRDefault="002F7743" w:rsidP="002F7743">
      <w:r w:rsidRPr="003F3B0B">
        <w:t xml:space="preserve">The predicted number of cycles to crack initiation for each load case and riser is presented in </w:t>
      </w:r>
      <w:r w:rsidRPr="003F3B0B">
        <w:fldChar w:fldCharType="begin"/>
      </w:r>
      <w:r w:rsidRPr="003F3B0B">
        <w:instrText xml:space="preserve"> REF _Ref11249443 \h </w:instrText>
      </w:r>
      <w:r w:rsidRPr="003F3B0B">
        <w:fldChar w:fldCharType="separate"/>
      </w:r>
      <w:r w:rsidR="003D1AA2" w:rsidRPr="003F3B0B">
        <w:t xml:space="preserve">Figure </w:t>
      </w:r>
      <w:r w:rsidR="003D1AA2" w:rsidRPr="003F3B0B">
        <w:rPr>
          <w:noProof/>
        </w:rPr>
        <w:t>15</w:t>
      </w:r>
      <w:r w:rsidRPr="003F3B0B">
        <w:fldChar w:fldCharType="end"/>
      </w:r>
      <w:r w:rsidRPr="003F3B0B">
        <w:t xml:space="preserve"> (a). The 11 inch riser is typically the most critical riser, in terms of predicted number of cycles to crack initiation, compared to the smaller diameter risers (9 inch and 6 inch). The load case with the most difference between predicted riser lives is load case 5; this corresponds to the load case with the lowest wave height and period. Comparing the predicted number of cycles to crack initiation for load cases 1 and 3 indicates that wave direction has an effect on predicted life; therefore, in a full riser analysis, a full range of wave loading directions should be considered. The location where </w:t>
      </w:r>
      <w:proofErr w:type="spellStart"/>
      <w:r w:rsidRPr="003F3B0B">
        <w:rPr>
          <w:rFonts w:cs="Times New Roman"/>
          <w:i/>
        </w:rPr>
        <w:t>Δκ</w:t>
      </w:r>
      <w:r w:rsidRPr="003F3B0B">
        <w:rPr>
          <w:vertAlign w:val="subscript"/>
        </w:rPr>
        <w:t>crit</w:t>
      </w:r>
      <w:proofErr w:type="spellEnd"/>
      <w:r w:rsidRPr="003F3B0B">
        <w:t xml:space="preserve"> occurs along the riser length is short relative to the length of the riser, typically ≤ 2 m compared to overall riser length of 550 m. This is approximately 0.4 % of the riser length that is critical for fretting design.</w:t>
      </w:r>
    </w:p>
    <w:p w14:paraId="01C2FFAD" w14:textId="18C711F9" w:rsidR="00B44C2E" w:rsidRPr="003F3B0B" w:rsidRDefault="000A791A" w:rsidP="00B44C2E">
      <w:r w:rsidRPr="003F3B0B">
        <w:fldChar w:fldCharType="begin"/>
      </w:r>
      <w:r w:rsidRPr="003F3B0B">
        <w:instrText xml:space="preserve"> REF _Ref11249443 \h </w:instrText>
      </w:r>
      <w:r w:rsidRPr="003F3B0B">
        <w:fldChar w:fldCharType="separate"/>
      </w:r>
      <w:r w:rsidR="003D1AA2" w:rsidRPr="003F3B0B">
        <w:t xml:space="preserve">Figure </w:t>
      </w:r>
      <w:r w:rsidR="003D1AA2" w:rsidRPr="003F3B0B">
        <w:rPr>
          <w:noProof/>
        </w:rPr>
        <w:t>15</w:t>
      </w:r>
      <w:r w:rsidRPr="003F3B0B">
        <w:fldChar w:fldCharType="end"/>
      </w:r>
      <w:r w:rsidR="002F7743" w:rsidRPr="003F3B0B">
        <w:t xml:space="preserve"> (b)</w:t>
      </w:r>
      <w:r w:rsidRPr="003F3B0B">
        <w:t xml:space="preserve"> </w:t>
      </w:r>
      <w:r w:rsidR="00B44C2E" w:rsidRPr="003F3B0B">
        <w:t xml:space="preserve">presents the predicted number of cycles to failure for all three risers and all load cases. There is a significant increase in life for all risers and load cases compared to predicted </w:t>
      </w:r>
      <w:r w:rsidR="00B44C2E" w:rsidRPr="003F3B0B">
        <w:lastRenderedPageBreak/>
        <w:t>initiation life (shown in</w:t>
      </w:r>
      <w:r w:rsidR="00340718" w:rsidRPr="003F3B0B">
        <w:t xml:space="preserve"> </w:t>
      </w:r>
      <w:r w:rsidR="00340718" w:rsidRPr="003F3B0B">
        <w:fldChar w:fldCharType="begin"/>
      </w:r>
      <w:r w:rsidR="00340718" w:rsidRPr="003F3B0B">
        <w:instrText xml:space="preserve"> REF _Ref11249443 \h </w:instrText>
      </w:r>
      <w:r w:rsidR="00340718" w:rsidRPr="003F3B0B">
        <w:fldChar w:fldCharType="separate"/>
      </w:r>
      <w:r w:rsidR="003D1AA2" w:rsidRPr="003F3B0B">
        <w:t xml:space="preserve">Figure </w:t>
      </w:r>
      <w:r w:rsidR="003D1AA2" w:rsidRPr="003F3B0B">
        <w:rPr>
          <w:noProof/>
        </w:rPr>
        <w:t>15</w:t>
      </w:r>
      <w:r w:rsidR="00340718" w:rsidRPr="003F3B0B">
        <w:fldChar w:fldCharType="end"/>
      </w:r>
      <w:r w:rsidR="002F7743" w:rsidRPr="003F3B0B">
        <w:t xml:space="preserve"> (a)</w:t>
      </w:r>
      <w:r w:rsidR="00B44C2E" w:rsidRPr="003F3B0B">
        <w:t xml:space="preserve">). There is less scatter between the results for failure than for initiation, </w:t>
      </w:r>
      <w:r w:rsidR="003A5FCE" w:rsidRPr="003F3B0B">
        <w:t>indicating that</w:t>
      </w:r>
      <w:r w:rsidR="00B44C2E" w:rsidRPr="003F3B0B">
        <w:t xml:space="preserve"> crack propagation is dominant over crack initiation</w:t>
      </w:r>
      <w:r w:rsidR="003A5FCE" w:rsidRPr="003F3B0B">
        <w:t>, due to</w:t>
      </w:r>
      <w:r w:rsidR="00B44C2E" w:rsidRPr="003F3B0B">
        <w:t xml:space="preserve"> stresses perpe</w:t>
      </w:r>
      <w:r w:rsidR="003A5FCE" w:rsidRPr="003F3B0B">
        <w:t>ndicular to the surface decreasing</w:t>
      </w:r>
      <w:r w:rsidR="00B44C2E" w:rsidRPr="003F3B0B">
        <w:t xml:space="preserve"> rapidly</w:t>
      </w:r>
      <w:r w:rsidR="003A5FCE" w:rsidRPr="003F3B0B">
        <w:t xml:space="preserve"> with increasing depth into the substrate</w:t>
      </w:r>
      <w:r w:rsidR="00B44C2E" w:rsidRPr="003F3B0B">
        <w:t>, resulting in similar predicted propagation lives for all risers and load cases.</w:t>
      </w:r>
    </w:p>
    <w:p w14:paraId="30D73D2E" w14:textId="046D6994" w:rsidR="00B44C2E" w:rsidRPr="003F3B0B" w:rsidRDefault="00B44C2E" w:rsidP="00B44C2E">
      <w:r w:rsidRPr="003F3B0B">
        <w:t xml:space="preserve">Currently, there is no standard procedure for the analysis of fretting in the pressure armour layer. Typically, risers are analysed for fatigue behaviour of the tensile armour layer. For this study, the fatigue life of tensile armour layer has also been predicted using </w:t>
      </w:r>
      <w:proofErr w:type="spellStart"/>
      <w:r w:rsidRPr="003F3B0B">
        <w:t>Layercom</w:t>
      </w:r>
      <w:proofErr w:type="spellEnd"/>
      <w:r w:rsidRPr="003F3B0B">
        <w:t xml:space="preserve">, a tensile armour layer </w:t>
      </w:r>
      <w:r w:rsidR="005B3456" w:rsidRPr="003F3B0B">
        <w:t xml:space="preserve">analytical </w:t>
      </w:r>
      <w:r w:rsidRPr="003F3B0B">
        <w:t>fatigue predictive tool (Wood</w:t>
      </w:r>
      <w:r w:rsidR="004046E6" w:rsidRPr="003F3B0B">
        <w:t xml:space="preserve"> </w:t>
      </w:r>
      <w:proofErr w:type="gramStart"/>
      <w:r w:rsidR="004046E6" w:rsidRPr="003F3B0B">
        <w:t>plc.</w:t>
      </w:r>
      <w:r w:rsidR="0001718E" w:rsidRPr="003F3B0B">
        <w:t>,</w:t>
      </w:r>
      <w:proofErr w:type="gramEnd"/>
      <w:r w:rsidR="0001718E" w:rsidRPr="003F3B0B">
        <w:t xml:space="preserve"> Galway, Ireland</w:t>
      </w:r>
      <w:r w:rsidRPr="003F3B0B">
        <w:t>). The</w:t>
      </w:r>
      <w:r w:rsidR="005B3456" w:rsidRPr="003F3B0B">
        <w:t xml:space="preserve"> analytically predicated</w:t>
      </w:r>
      <w:r w:rsidRPr="003F3B0B">
        <w:t xml:space="preserve"> lives for the tensile armour layer ranged from 5.9 × 10</w:t>
      </w:r>
      <w:r w:rsidRPr="003F3B0B">
        <w:rPr>
          <w:vertAlign w:val="superscript"/>
        </w:rPr>
        <w:t xml:space="preserve">5 </w:t>
      </w:r>
      <w:r w:rsidRPr="003F3B0B">
        <w:t>to 1.3 × 10</w:t>
      </w:r>
      <w:r w:rsidRPr="003F3B0B">
        <w:rPr>
          <w:vertAlign w:val="superscript"/>
        </w:rPr>
        <w:t>7</w:t>
      </w:r>
      <w:r w:rsidRPr="003F3B0B">
        <w:t xml:space="preserve">. This is a similar range to the total fretting fatigue life predicted for the pressure armour layer in this study (see </w:t>
      </w:r>
      <w:r w:rsidR="000A791A" w:rsidRPr="003F3B0B">
        <w:fldChar w:fldCharType="begin"/>
      </w:r>
      <w:r w:rsidR="000A791A" w:rsidRPr="003F3B0B">
        <w:instrText xml:space="preserve"> REF _Ref11249443 \h </w:instrText>
      </w:r>
      <w:r w:rsidR="000A791A" w:rsidRPr="003F3B0B">
        <w:fldChar w:fldCharType="separate"/>
      </w:r>
      <w:r w:rsidR="003D1AA2" w:rsidRPr="003F3B0B">
        <w:t xml:space="preserve">Figure </w:t>
      </w:r>
      <w:r w:rsidR="003D1AA2" w:rsidRPr="003F3B0B">
        <w:rPr>
          <w:noProof/>
        </w:rPr>
        <w:t>15</w:t>
      </w:r>
      <w:r w:rsidR="000A791A" w:rsidRPr="003F3B0B">
        <w:fldChar w:fldCharType="end"/>
      </w:r>
      <w:r w:rsidR="002F7743" w:rsidRPr="003F3B0B">
        <w:t xml:space="preserve"> (b)</w:t>
      </w:r>
      <w:r w:rsidRPr="003F3B0B">
        <w:t xml:space="preserve">). The load cases investigated here are extreme loading scenarios; by modelling stochastic sea states, less conservative and more realistic life predictions can be calculated using the same predictive methodologies for both fatigue of the tensile armour layer and fretting fatigue of the pressure armour layer. </w:t>
      </w:r>
    </w:p>
    <w:p w14:paraId="4C52E36E" w14:textId="77777777" w:rsidR="00E70C83" w:rsidRPr="003F3B0B" w:rsidRDefault="00E70C83" w:rsidP="00E70C83"/>
    <w:p w14:paraId="22EBDC03" w14:textId="77777777" w:rsidR="00AE3B0E" w:rsidRPr="003F3B0B" w:rsidRDefault="00E70C83" w:rsidP="00E70C83">
      <w:pPr>
        <w:pStyle w:val="Heading1"/>
      </w:pPr>
      <w:r w:rsidRPr="003F3B0B">
        <w:t>Conclusions</w:t>
      </w:r>
    </w:p>
    <w:p w14:paraId="599AC7C6" w14:textId="70C4E12F" w:rsidR="00C47C78" w:rsidRPr="003F3B0B" w:rsidRDefault="00C47C78" w:rsidP="00B44C2E">
      <w:pPr>
        <w:rPr>
          <w:lang w:eastAsia="es-ES"/>
        </w:rPr>
      </w:pPr>
      <w:r w:rsidRPr="003F3B0B">
        <w:rPr>
          <w:lang w:eastAsia="es-ES"/>
        </w:rPr>
        <w:t xml:space="preserve">A global-local computational methodology is presented for fretting fatigue of the pressure armour layer in flexible risers under realistic loading conditions. The methodology consists of a hierarchy of models, including a global riser dynamics model, geometrical and analytical riser sub-models, and an axisymmetric nub-groove local contact model. A new fretting test rig is also presented for representative testing of flexible riser pressure armour contact conditions. The key functional relationships between global riser variables (running conditions) and local nub-groove fretting variables have been </w:t>
      </w:r>
      <w:r w:rsidR="00793B58" w:rsidRPr="003F3B0B">
        <w:rPr>
          <w:lang w:eastAsia="es-ES"/>
        </w:rPr>
        <w:t xml:space="preserve">developed </w:t>
      </w:r>
      <w:r w:rsidRPr="003F3B0B">
        <w:rPr>
          <w:lang w:eastAsia="es-ES"/>
        </w:rPr>
        <w:t xml:space="preserve">to facilitate identification of critical riser curvatures for fatigue crack initiation and total life in different </w:t>
      </w:r>
      <w:r w:rsidRPr="003F3B0B">
        <w:rPr>
          <w:lang w:eastAsia="es-ES"/>
        </w:rPr>
        <w:lastRenderedPageBreak/>
        <w:t>riser design geometries. Running condition fretting maps are thus presented for the different riser geometries. The resulting predicted fretting fatigue lives are found to be in the same range as tensile armour layer plain fatigue lives.</w:t>
      </w:r>
    </w:p>
    <w:p w14:paraId="78FEB095" w14:textId="3AF59DB6" w:rsidR="00A13985" w:rsidRPr="003F3B0B" w:rsidRDefault="00A13985" w:rsidP="00B44C2E">
      <w:r w:rsidRPr="003F3B0B">
        <w:t xml:space="preserve">The riser design study </w:t>
      </w:r>
      <w:r w:rsidR="005328FA" w:rsidRPr="003F3B0B">
        <w:t>facilitated new insight into fretting in risers, such as:</w:t>
      </w:r>
    </w:p>
    <w:p w14:paraId="417F5F83" w14:textId="28045BC0" w:rsidR="005328FA" w:rsidRPr="003F3B0B" w:rsidRDefault="005328FA" w:rsidP="005328FA">
      <w:pPr>
        <w:pStyle w:val="ListParagraph"/>
        <w:numPr>
          <w:ilvl w:val="0"/>
          <w:numId w:val="3"/>
        </w:numPr>
      </w:pPr>
      <w:r w:rsidRPr="003F3B0B">
        <w:t xml:space="preserve">The critical curvature range for partial slip (and hence minimum fretting life) reduces with increasing riser diameter </w:t>
      </w:r>
    </w:p>
    <w:p w14:paraId="4A40ABD1" w14:textId="319B47E2" w:rsidR="005328FA" w:rsidRPr="003F3B0B" w:rsidRDefault="005328FA" w:rsidP="005328FA">
      <w:pPr>
        <w:pStyle w:val="ListParagraph"/>
        <w:numPr>
          <w:ilvl w:val="0"/>
          <w:numId w:val="3"/>
        </w:numPr>
      </w:pPr>
      <w:r w:rsidRPr="003F3B0B">
        <w:t>Propagation life is predicted to be significantly (two orders of magnitude) longer than initiatio</w:t>
      </w:r>
      <w:r w:rsidR="00793B58" w:rsidRPr="003F3B0B">
        <w:t>n life, due to the significant</w:t>
      </w:r>
      <w:r w:rsidRPr="003F3B0B">
        <w:t xml:space="preserve"> gradient in stress with increasing depth into the armour wire substrate</w:t>
      </w:r>
    </w:p>
    <w:p w14:paraId="16F4AAA3" w14:textId="1CA74E4E" w:rsidR="00F43DF2" w:rsidRPr="003F3B0B" w:rsidRDefault="00F43DF2" w:rsidP="00F43DF2">
      <w:r w:rsidRPr="003F3B0B">
        <w:t>This study has highlight</w:t>
      </w:r>
      <w:r w:rsidR="00793B58" w:rsidRPr="003F3B0B">
        <w:t>ed</w:t>
      </w:r>
      <w:r w:rsidRPr="003F3B0B">
        <w:t xml:space="preserve"> the requirement for further investigation into the effect of global </w:t>
      </w:r>
      <w:r w:rsidRPr="003F3B0B">
        <w:rPr>
          <w:noProof/>
        </w:rPr>
        <w:t>riser</w:t>
      </w:r>
      <w:r w:rsidRPr="003F3B0B">
        <w:t xml:space="preserve"> curvature on local nub-groove contact slip. To quantify this effect, 3D riser modelling including </w:t>
      </w:r>
      <w:r w:rsidRPr="003F3B0B">
        <w:rPr>
          <w:noProof/>
        </w:rPr>
        <w:t>detailed</w:t>
      </w:r>
      <w:r w:rsidRPr="003F3B0B">
        <w:t xml:space="preserve"> geometry of each layer and contact pressures and slip between layers is required. These 3D models should be validated using full-scale riser testing; this is a difficult task since contact slip is difficult to measure experimentally, especially in the small space within the pressure armour layer. However, it may be feasible to implement displacement or position sensors to measure the effect of riser curvature on pressure armour wire displacement; FE modelling can then be used to predict local nub-groove contact slip. </w:t>
      </w:r>
      <w:r w:rsidR="0001718E" w:rsidRPr="003F3B0B">
        <w:t>The present work will</w:t>
      </w:r>
      <w:r w:rsidRPr="003F3B0B">
        <w:t xml:space="preserve"> inform new flexible riser design codes and standards which may allow for </w:t>
      </w:r>
      <w:r w:rsidR="0001718E" w:rsidRPr="003F3B0B">
        <w:t xml:space="preserve">reduced </w:t>
      </w:r>
      <w:r w:rsidRPr="003F3B0B">
        <w:t xml:space="preserve">safety factors </w:t>
      </w:r>
      <w:r w:rsidR="0001718E" w:rsidRPr="003F3B0B">
        <w:t>for</w:t>
      </w:r>
      <w:r w:rsidRPr="003F3B0B">
        <w:t xml:space="preserve"> fatigue design of risers </w:t>
      </w:r>
      <w:r w:rsidRPr="003F3B0B">
        <w:fldChar w:fldCharType="begin" w:fldLock="1"/>
      </w:r>
      <w:r w:rsidR="00EF5D3F" w:rsidRPr="003F3B0B">
        <w:instrText>ADDIN CSL_CITATION { "citationItems" : [ { "id" : "ITEM-1", "itemData" : { "author" : [ { "dropping-particle" : "", "family" : "API", "given" : "", "non-dropping-particle" : "", "parse-names" : false, "suffix" : "" } ], "container-title" : "American Petroleum Industry", "genre" : "Journal Article", "id" : "ITEM-1", "issued" : { "date-parts" : [ [ "2009" ] ] }, "title" : "Recomended practices for flexible marine risers, 17J", "type" : "report" }, "uris" : [ "http://www.mendeley.com/documents/?uuid=107abf6f-24e1-4984-bd9a-c9625f699aa4", "http://www.mendeley.com/documents/?uuid=3bc7d500-7f5f-4ccb-81a2-c36987af3bf5" ] } ], "mendeley" : { "formattedCitation" : "[53]", "plainTextFormattedCitation" : "[53]", "previouslyFormattedCitation" : "[53]" }, "properties" : { "noteIndex" : 0 }, "schema" : "https://github.com/citation-style-language/schema/raw/master/csl-citation.json" }</w:instrText>
      </w:r>
      <w:r w:rsidRPr="003F3B0B">
        <w:fldChar w:fldCharType="separate"/>
      </w:r>
      <w:r w:rsidR="00EF5D3F" w:rsidRPr="003F3B0B">
        <w:rPr>
          <w:noProof/>
        </w:rPr>
        <w:t>[53]</w:t>
      </w:r>
      <w:r w:rsidRPr="003F3B0B">
        <w:fldChar w:fldCharType="end"/>
      </w:r>
      <w:r w:rsidR="0001718E" w:rsidRPr="003F3B0B">
        <w:t>.</w:t>
      </w:r>
    </w:p>
    <w:p w14:paraId="4342FCC4" w14:textId="77777777" w:rsidR="00F43DF2" w:rsidRPr="003F3B0B" w:rsidRDefault="00F43DF2" w:rsidP="00F43DF2"/>
    <w:p w14:paraId="7BE7C4F7" w14:textId="77777777" w:rsidR="00ED2BCF" w:rsidRPr="003F3B0B" w:rsidRDefault="00ED2BCF" w:rsidP="00ED2BCF">
      <w:pPr>
        <w:pStyle w:val="Heading1"/>
        <w:numPr>
          <w:ilvl w:val="0"/>
          <w:numId w:val="0"/>
        </w:numPr>
        <w:ind w:left="431" w:hanging="431"/>
      </w:pPr>
      <w:r w:rsidRPr="003F3B0B">
        <w:t>Acknowledgements</w:t>
      </w:r>
    </w:p>
    <w:p w14:paraId="057C28CD" w14:textId="77777777" w:rsidR="00ED2BCF" w:rsidRPr="003F3B0B" w:rsidRDefault="00ED2BCF" w:rsidP="00ED2BCF">
      <w:r w:rsidRPr="003F3B0B">
        <w:t xml:space="preserve">The authors would like to thank the Irish Research Council and Wood </w:t>
      </w:r>
      <w:r w:rsidR="00F43DF2" w:rsidRPr="003F3B0B">
        <w:t xml:space="preserve">plc. </w:t>
      </w:r>
      <w:r w:rsidRPr="003F3B0B">
        <w:t xml:space="preserve">for funding of this project through the Enterprise Partnership Scheme (EPSPG/2013/638), the National </w:t>
      </w:r>
      <w:r w:rsidRPr="003F3B0B">
        <w:lastRenderedPageBreak/>
        <w:t>University of Ireland for funding through an NUI Travelling Scholarship. The authors also wish to acknowledge the support of the NUI Galway Engineering Building technical staff; particularly Mr. Bonaventure Kennedy and Mr. Patrick Kelly.</w:t>
      </w:r>
    </w:p>
    <w:p w14:paraId="0735F7B3" w14:textId="77777777" w:rsidR="00E70C83" w:rsidRPr="003F3B0B" w:rsidRDefault="00E70C83" w:rsidP="00E70C83"/>
    <w:p w14:paraId="3C6C3C7C" w14:textId="77777777" w:rsidR="00E70C83" w:rsidRPr="003F3B0B" w:rsidRDefault="00E70C83">
      <w:pPr>
        <w:spacing w:line="259" w:lineRule="auto"/>
        <w:jc w:val="left"/>
        <w:rPr>
          <w:rFonts w:eastAsiaTheme="majorEastAsia" w:cstheme="majorBidi"/>
          <w:b/>
          <w:sz w:val="28"/>
          <w:szCs w:val="32"/>
        </w:rPr>
      </w:pPr>
      <w:r w:rsidRPr="003F3B0B">
        <w:br w:type="page"/>
      </w:r>
    </w:p>
    <w:p w14:paraId="1F592C34" w14:textId="77777777" w:rsidR="00E70C83" w:rsidRPr="003F3B0B" w:rsidRDefault="00E70C83" w:rsidP="00E70C83">
      <w:pPr>
        <w:pStyle w:val="Heading1"/>
        <w:numPr>
          <w:ilvl w:val="0"/>
          <w:numId w:val="0"/>
        </w:numPr>
        <w:ind w:left="432" w:hanging="432"/>
      </w:pPr>
      <w:r w:rsidRPr="003F3B0B">
        <w:lastRenderedPageBreak/>
        <w:t>References</w:t>
      </w:r>
    </w:p>
    <w:p w14:paraId="643A9DBA" w14:textId="590EA02C" w:rsidR="00D521B7" w:rsidRPr="003F3B0B" w:rsidRDefault="00B44C2E" w:rsidP="00D521B7">
      <w:pPr>
        <w:widowControl w:val="0"/>
        <w:autoSpaceDE w:val="0"/>
        <w:autoSpaceDN w:val="0"/>
        <w:adjustRightInd w:val="0"/>
        <w:ind w:left="640" w:hanging="640"/>
        <w:rPr>
          <w:rFonts w:cs="Times New Roman"/>
          <w:noProof/>
          <w:szCs w:val="24"/>
        </w:rPr>
      </w:pPr>
      <w:r w:rsidRPr="003F3B0B">
        <w:fldChar w:fldCharType="begin" w:fldLock="1"/>
      </w:r>
      <w:r w:rsidRPr="003F3B0B">
        <w:instrText xml:space="preserve">ADDIN Mendeley Bibliography CSL_BIBLIOGRAPHY </w:instrText>
      </w:r>
      <w:r w:rsidRPr="003F3B0B">
        <w:fldChar w:fldCharType="separate"/>
      </w:r>
      <w:r w:rsidR="00D521B7" w:rsidRPr="003F3B0B">
        <w:rPr>
          <w:rFonts w:cs="Times New Roman"/>
          <w:noProof/>
          <w:szCs w:val="24"/>
        </w:rPr>
        <w:t>[1]</w:t>
      </w:r>
      <w:r w:rsidR="00D521B7" w:rsidRPr="003F3B0B">
        <w:rPr>
          <w:rFonts w:cs="Times New Roman"/>
          <w:noProof/>
          <w:szCs w:val="24"/>
        </w:rPr>
        <w:tab/>
        <w:t>Dobromirski J. Variables of fretting process: Are there 50 of them? Stand Frett Fatigue Test Methods Equip 1992:60-60–7. doi:10.1520/STP25816S.</w:t>
      </w:r>
    </w:p>
    <w:p w14:paraId="37C1CE53" w14:textId="77777777" w:rsidR="00D521B7" w:rsidRPr="003F3B0B" w:rsidRDefault="00D521B7" w:rsidP="00D521B7">
      <w:pPr>
        <w:widowControl w:val="0"/>
        <w:autoSpaceDE w:val="0"/>
        <w:autoSpaceDN w:val="0"/>
        <w:adjustRightInd w:val="0"/>
        <w:ind w:left="640" w:hanging="640"/>
        <w:rPr>
          <w:rFonts w:cs="Times New Roman"/>
          <w:noProof/>
          <w:szCs w:val="24"/>
        </w:rPr>
      </w:pPr>
      <w:r w:rsidRPr="003F3B0B">
        <w:rPr>
          <w:rFonts w:cs="Times New Roman"/>
          <w:noProof/>
          <w:szCs w:val="24"/>
        </w:rPr>
        <w:t>[2]</w:t>
      </w:r>
      <w:r w:rsidRPr="003F3B0B">
        <w:rPr>
          <w:rFonts w:cs="Times New Roman"/>
          <w:noProof/>
          <w:szCs w:val="24"/>
        </w:rPr>
        <w:tab/>
        <w:t>Glaeser WA. Tribology, the science of combating wear. Battelle, Columbus Division; 1981.</w:t>
      </w:r>
    </w:p>
    <w:p w14:paraId="21151341" w14:textId="77777777" w:rsidR="00D521B7" w:rsidRPr="003F3B0B" w:rsidRDefault="00D521B7" w:rsidP="00D521B7">
      <w:pPr>
        <w:widowControl w:val="0"/>
        <w:autoSpaceDE w:val="0"/>
        <w:autoSpaceDN w:val="0"/>
        <w:adjustRightInd w:val="0"/>
        <w:ind w:left="640" w:hanging="640"/>
        <w:rPr>
          <w:rFonts w:cs="Times New Roman"/>
          <w:noProof/>
          <w:szCs w:val="24"/>
        </w:rPr>
      </w:pPr>
      <w:r w:rsidRPr="003F3B0B">
        <w:rPr>
          <w:rFonts w:cs="Times New Roman"/>
          <w:noProof/>
          <w:szCs w:val="24"/>
        </w:rPr>
        <w:t>[3]</w:t>
      </w:r>
      <w:r w:rsidRPr="003F3B0B">
        <w:rPr>
          <w:rFonts w:cs="Times New Roman"/>
          <w:noProof/>
          <w:szCs w:val="24"/>
        </w:rPr>
        <w:tab/>
        <w:t>Ding J, McColl IR, Leen SB, Shipway PH. A finite element based approach to simulating the effects of debris on fretting wear. Wear 2007;263:481–91. doi:10.1016/j.wear.2006.12.056.</w:t>
      </w:r>
    </w:p>
    <w:p w14:paraId="40907AEE" w14:textId="77777777" w:rsidR="00D521B7" w:rsidRPr="003F3B0B" w:rsidRDefault="00D521B7" w:rsidP="00D521B7">
      <w:pPr>
        <w:widowControl w:val="0"/>
        <w:autoSpaceDE w:val="0"/>
        <w:autoSpaceDN w:val="0"/>
        <w:adjustRightInd w:val="0"/>
        <w:ind w:left="640" w:hanging="640"/>
        <w:rPr>
          <w:rFonts w:cs="Times New Roman"/>
          <w:noProof/>
          <w:szCs w:val="24"/>
        </w:rPr>
      </w:pPr>
      <w:r w:rsidRPr="003F3B0B">
        <w:rPr>
          <w:rFonts w:cs="Times New Roman"/>
          <w:noProof/>
          <w:szCs w:val="24"/>
        </w:rPr>
        <w:t>[4]</w:t>
      </w:r>
      <w:r w:rsidRPr="003F3B0B">
        <w:rPr>
          <w:rFonts w:cs="Times New Roman"/>
          <w:noProof/>
          <w:szCs w:val="24"/>
        </w:rPr>
        <w:tab/>
        <w:t>Wavish PM, Houghton D, Ding J, Leen SB, Williams EJ, McColl IR. A multiaxial fretting fatigue test for spline coupling contact. Fatigue Fract Eng Mater Struct 2009;32:325–45. doi:10.1111/j.1460-2695.2009.01334.x.</w:t>
      </w:r>
    </w:p>
    <w:p w14:paraId="01C8DFE5" w14:textId="77777777" w:rsidR="00D521B7" w:rsidRPr="003F3B0B" w:rsidRDefault="00D521B7" w:rsidP="00D521B7">
      <w:pPr>
        <w:widowControl w:val="0"/>
        <w:autoSpaceDE w:val="0"/>
        <w:autoSpaceDN w:val="0"/>
        <w:adjustRightInd w:val="0"/>
        <w:ind w:left="640" w:hanging="640"/>
        <w:rPr>
          <w:rFonts w:cs="Times New Roman"/>
          <w:noProof/>
          <w:szCs w:val="24"/>
        </w:rPr>
      </w:pPr>
      <w:r w:rsidRPr="003F3B0B">
        <w:rPr>
          <w:rFonts w:cs="Times New Roman"/>
          <w:noProof/>
          <w:szCs w:val="24"/>
        </w:rPr>
        <w:t>[5]</w:t>
      </w:r>
      <w:r w:rsidRPr="003F3B0B">
        <w:rPr>
          <w:rFonts w:cs="Times New Roman"/>
          <w:noProof/>
          <w:szCs w:val="24"/>
        </w:rPr>
        <w:tab/>
        <w:t>Ruiz C, Boddington PHB, Chen KC. An investigation of fatigue and fretting in a dovetail joint. Exp Mech 1984;24:208–17.</w:t>
      </w:r>
    </w:p>
    <w:p w14:paraId="12420918" w14:textId="77777777" w:rsidR="00D521B7" w:rsidRPr="003F3B0B" w:rsidRDefault="00D521B7" w:rsidP="00D521B7">
      <w:pPr>
        <w:widowControl w:val="0"/>
        <w:autoSpaceDE w:val="0"/>
        <w:autoSpaceDN w:val="0"/>
        <w:adjustRightInd w:val="0"/>
        <w:ind w:left="640" w:hanging="640"/>
        <w:rPr>
          <w:rFonts w:cs="Times New Roman"/>
          <w:noProof/>
          <w:szCs w:val="24"/>
        </w:rPr>
      </w:pPr>
      <w:r w:rsidRPr="003F3B0B">
        <w:rPr>
          <w:rFonts w:cs="Times New Roman"/>
          <w:noProof/>
          <w:szCs w:val="24"/>
        </w:rPr>
        <w:t>[6]</w:t>
      </w:r>
      <w:r w:rsidRPr="003F3B0B">
        <w:rPr>
          <w:rFonts w:cs="Times New Roman"/>
          <w:noProof/>
          <w:szCs w:val="24"/>
        </w:rPr>
        <w:tab/>
        <w:t>Nowell D, Dini D, Hills DA. Recent developments in the understanding of fretting fatigue. Eng Fract Mech 2006;73:207–22. doi:10.1016/j.engfracmech.2005.01.013.</w:t>
      </w:r>
    </w:p>
    <w:p w14:paraId="0A639A57" w14:textId="77777777" w:rsidR="00D521B7" w:rsidRPr="003F3B0B" w:rsidRDefault="00D521B7" w:rsidP="00D521B7">
      <w:pPr>
        <w:widowControl w:val="0"/>
        <w:autoSpaceDE w:val="0"/>
        <w:autoSpaceDN w:val="0"/>
        <w:adjustRightInd w:val="0"/>
        <w:ind w:left="640" w:hanging="640"/>
        <w:rPr>
          <w:rFonts w:cs="Times New Roman"/>
          <w:noProof/>
          <w:szCs w:val="24"/>
        </w:rPr>
      </w:pPr>
      <w:r w:rsidRPr="003F3B0B">
        <w:rPr>
          <w:rFonts w:cs="Times New Roman"/>
          <w:noProof/>
          <w:szCs w:val="24"/>
        </w:rPr>
        <w:t>[7]</w:t>
      </w:r>
      <w:r w:rsidRPr="003F3B0B">
        <w:rPr>
          <w:rFonts w:cs="Times New Roman"/>
          <w:noProof/>
          <w:szCs w:val="24"/>
        </w:rPr>
        <w:tab/>
        <w:t>Cruzado  a., Hartelt M, Wäsche R, Urchegui M a., Gómez X. Fretting wear of thin steel wires. Part 1: Influence of contact pressure. Wear 2010;268:1409–16. doi:10.1016/j.wear.2010.02.017.</w:t>
      </w:r>
    </w:p>
    <w:p w14:paraId="2A24C410" w14:textId="77777777" w:rsidR="00D521B7" w:rsidRPr="003F3B0B" w:rsidRDefault="00D521B7" w:rsidP="00D521B7">
      <w:pPr>
        <w:widowControl w:val="0"/>
        <w:autoSpaceDE w:val="0"/>
        <w:autoSpaceDN w:val="0"/>
        <w:adjustRightInd w:val="0"/>
        <w:ind w:left="640" w:hanging="640"/>
        <w:rPr>
          <w:rFonts w:cs="Times New Roman"/>
          <w:noProof/>
          <w:szCs w:val="24"/>
        </w:rPr>
      </w:pPr>
      <w:r w:rsidRPr="003F3B0B">
        <w:rPr>
          <w:rFonts w:cs="Times New Roman"/>
          <w:noProof/>
          <w:szCs w:val="24"/>
        </w:rPr>
        <w:t>[8]</w:t>
      </w:r>
      <w:r w:rsidRPr="003F3B0B">
        <w:rPr>
          <w:rFonts w:cs="Times New Roman"/>
          <w:noProof/>
          <w:szCs w:val="24"/>
        </w:rPr>
        <w:tab/>
        <w:t>Mulvihill DM, Kartal ME, Olver AV, Nowell D, Hills DA. Investigation of non-Coulomb friction behaviour in reciprocating sliding. Wear 2011;271:802–16. doi:10.1016/j.wear.2011.03.014.</w:t>
      </w:r>
    </w:p>
    <w:p w14:paraId="5F826617" w14:textId="77777777" w:rsidR="00D521B7" w:rsidRPr="003F3B0B" w:rsidRDefault="00D521B7" w:rsidP="00D521B7">
      <w:pPr>
        <w:widowControl w:val="0"/>
        <w:autoSpaceDE w:val="0"/>
        <w:autoSpaceDN w:val="0"/>
        <w:adjustRightInd w:val="0"/>
        <w:ind w:left="640" w:hanging="640"/>
        <w:rPr>
          <w:rFonts w:cs="Times New Roman"/>
          <w:noProof/>
          <w:szCs w:val="24"/>
        </w:rPr>
      </w:pPr>
      <w:r w:rsidRPr="003F3B0B">
        <w:rPr>
          <w:rFonts w:cs="Times New Roman"/>
          <w:noProof/>
          <w:szCs w:val="24"/>
        </w:rPr>
        <w:t>[9]</w:t>
      </w:r>
      <w:r w:rsidRPr="003F3B0B">
        <w:rPr>
          <w:rFonts w:cs="Times New Roman"/>
          <w:noProof/>
          <w:szCs w:val="24"/>
        </w:rPr>
        <w:tab/>
        <w:t>Kartal ME, Barber JR, Hills D a., Nowell D. Partial slip problem for two semi-infinite strips in contact. Int J Eng Sci 2011;49:203–11. doi:10.1016/j.ijengsci.2010.11.007.</w:t>
      </w:r>
    </w:p>
    <w:p w14:paraId="289356C0" w14:textId="77777777" w:rsidR="00D521B7" w:rsidRPr="003F3B0B" w:rsidRDefault="00D521B7" w:rsidP="00D521B7">
      <w:pPr>
        <w:widowControl w:val="0"/>
        <w:autoSpaceDE w:val="0"/>
        <w:autoSpaceDN w:val="0"/>
        <w:adjustRightInd w:val="0"/>
        <w:ind w:left="640" w:hanging="640"/>
        <w:rPr>
          <w:rFonts w:cs="Times New Roman"/>
          <w:noProof/>
          <w:szCs w:val="24"/>
        </w:rPr>
      </w:pPr>
      <w:r w:rsidRPr="003F3B0B">
        <w:rPr>
          <w:rFonts w:cs="Times New Roman"/>
          <w:noProof/>
          <w:szCs w:val="24"/>
        </w:rPr>
        <w:lastRenderedPageBreak/>
        <w:t>[10]</w:t>
      </w:r>
      <w:r w:rsidRPr="003F3B0B">
        <w:rPr>
          <w:rFonts w:cs="Times New Roman"/>
          <w:noProof/>
          <w:szCs w:val="24"/>
        </w:rPr>
        <w:tab/>
        <w:t>Mugadu A, Hills DA, Nowell D. Modifications to a fretting-fatigue testing apparatus based upon an analysis of contact stresses at complete and nearly complete contacts. Wear 2002;252:475–83. doi:10.1016/S0043-1648(02)00007-8.</w:t>
      </w:r>
    </w:p>
    <w:p w14:paraId="3773C7C9" w14:textId="77777777" w:rsidR="00D521B7" w:rsidRPr="003F3B0B" w:rsidRDefault="00D521B7" w:rsidP="00D521B7">
      <w:pPr>
        <w:widowControl w:val="0"/>
        <w:autoSpaceDE w:val="0"/>
        <w:autoSpaceDN w:val="0"/>
        <w:adjustRightInd w:val="0"/>
        <w:ind w:left="640" w:hanging="640"/>
        <w:rPr>
          <w:rFonts w:cs="Times New Roman"/>
          <w:noProof/>
          <w:szCs w:val="24"/>
        </w:rPr>
      </w:pPr>
      <w:r w:rsidRPr="003F3B0B">
        <w:rPr>
          <w:rFonts w:cs="Times New Roman"/>
          <w:noProof/>
          <w:szCs w:val="24"/>
        </w:rPr>
        <w:t>[11]</w:t>
      </w:r>
      <w:r w:rsidRPr="003F3B0B">
        <w:rPr>
          <w:rFonts w:cs="Times New Roman"/>
          <w:noProof/>
          <w:szCs w:val="24"/>
        </w:rPr>
        <w:tab/>
        <w:t>Pearson SR, Shipway PH. Is the wear coefficient dependent upon slip amplitude in fretting? Vingsbo and Söderberg revisited. Wear 2015;330–331:93–102. doi:10.1016/j.wear.2014.11.005.</w:t>
      </w:r>
    </w:p>
    <w:p w14:paraId="6FC44129" w14:textId="77777777" w:rsidR="00D521B7" w:rsidRPr="003F3B0B" w:rsidRDefault="00D521B7" w:rsidP="00D521B7">
      <w:pPr>
        <w:widowControl w:val="0"/>
        <w:autoSpaceDE w:val="0"/>
        <w:autoSpaceDN w:val="0"/>
        <w:adjustRightInd w:val="0"/>
        <w:ind w:left="640" w:hanging="640"/>
        <w:rPr>
          <w:rFonts w:cs="Times New Roman"/>
          <w:noProof/>
          <w:szCs w:val="24"/>
        </w:rPr>
      </w:pPr>
      <w:r w:rsidRPr="003F3B0B">
        <w:rPr>
          <w:rFonts w:cs="Times New Roman"/>
          <w:noProof/>
          <w:szCs w:val="24"/>
        </w:rPr>
        <w:t>[12]</w:t>
      </w:r>
      <w:r w:rsidRPr="003F3B0B">
        <w:rPr>
          <w:rFonts w:cs="Times New Roman"/>
          <w:noProof/>
          <w:szCs w:val="24"/>
        </w:rPr>
        <w:tab/>
        <w:t>Fouvry S. Shakedown analysis and fretting wear response under gross slip condition. Wear 2001;251:1320–31. doi:10.1016/S0043-1648(01)00767-0.</w:t>
      </w:r>
    </w:p>
    <w:p w14:paraId="5704A540" w14:textId="77777777" w:rsidR="00D521B7" w:rsidRPr="003F3B0B" w:rsidRDefault="00D521B7" w:rsidP="00D521B7">
      <w:pPr>
        <w:widowControl w:val="0"/>
        <w:autoSpaceDE w:val="0"/>
        <w:autoSpaceDN w:val="0"/>
        <w:adjustRightInd w:val="0"/>
        <w:ind w:left="640" w:hanging="640"/>
        <w:rPr>
          <w:rFonts w:cs="Times New Roman"/>
          <w:noProof/>
          <w:szCs w:val="24"/>
        </w:rPr>
      </w:pPr>
      <w:r w:rsidRPr="003F3B0B">
        <w:rPr>
          <w:rFonts w:cs="Times New Roman"/>
          <w:noProof/>
          <w:szCs w:val="24"/>
        </w:rPr>
        <w:t>[13]</w:t>
      </w:r>
      <w:r w:rsidRPr="003F3B0B">
        <w:rPr>
          <w:rFonts w:cs="Times New Roman"/>
          <w:noProof/>
          <w:szCs w:val="24"/>
        </w:rPr>
        <w:tab/>
        <w:t>Hills DA, Nowell D. Mechanics of Fretting Fatique. Springer Netherlands; 1994.</w:t>
      </w:r>
    </w:p>
    <w:p w14:paraId="68445C8B" w14:textId="77777777" w:rsidR="00D521B7" w:rsidRPr="003F3B0B" w:rsidRDefault="00D521B7" w:rsidP="00D521B7">
      <w:pPr>
        <w:widowControl w:val="0"/>
        <w:autoSpaceDE w:val="0"/>
        <w:autoSpaceDN w:val="0"/>
        <w:adjustRightInd w:val="0"/>
        <w:ind w:left="640" w:hanging="640"/>
        <w:rPr>
          <w:rFonts w:cs="Times New Roman"/>
          <w:noProof/>
          <w:szCs w:val="24"/>
        </w:rPr>
      </w:pPr>
      <w:r w:rsidRPr="003F3B0B">
        <w:rPr>
          <w:rFonts w:cs="Times New Roman"/>
          <w:noProof/>
          <w:szCs w:val="24"/>
        </w:rPr>
        <w:t>[14]</w:t>
      </w:r>
      <w:r w:rsidRPr="003F3B0B">
        <w:rPr>
          <w:rFonts w:cs="Times New Roman"/>
          <w:noProof/>
          <w:szCs w:val="24"/>
        </w:rPr>
        <w:tab/>
        <w:t>Araújo J a., Nowell D. The effect of rapidly varying contact stress fields on fretting fatigue. Int J Fatigue 2002;24:763–75. doi:10.1016/S0142-1123(01)00191-8.</w:t>
      </w:r>
    </w:p>
    <w:p w14:paraId="219F2799" w14:textId="77777777" w:rsidR="00D521B7" w:rsidRPr="003F3B0B" w:rsidRDefault="00D521B7" w:rsidP="00D521B7">
      <w:pPr>
        <w:widowControl w:val="0"/>
        <w:autoSpaceDE w:val="0"/>
        <w:autoSpaceDN w:val="0"/>
        <w:adjustRightInd w:val="0"/>
        <w:ind w:left="640" w:hanging="640"/>
        <w:rPr>
          <w:rFonts w:cs="Times New Roman"/>
          <w:noProof/>
          <w:szCs w:val="24"/>
        </w:rPr>
      </w:pPr>
      <w:r w:rsidRPr="003F3B0B">
        <w:rPr>
          <w:rFonts w:cs="Times New Roman"/>
          <w:noProof/>
          <w:szCs w:val="24"/>
        </w:rPr>
        <w:t>[15]</w:t>
      </w:r>
      <w:r w:rsidRPr="003F3B0B">
        <w:rPr>
          <w:rFonts w:cs="Times New Roman"/>
          <w:noProof/>
          <w:szCs w:val="24"/>
        </w:rPr>
        <w:tab/>
        <w:t>Araújo JA, Nowell D, Vivacqua RC. The use of multiaxial fatigue models to predict fretting fatigue life of components subjected to different contact stress fields. Fatigue Fract Eng Mater Struct 2004;27:967–78. doi:10.1111/j.1460-2695.2004.00820.x.</w:t>
      </w:r>
    </w:p>
    <w:p w14:paraId="71BEF005" w14:textId="77777777" w:rsidR="00D521B7" w:rsidRPr="003F3B0B" w:rsidRDefault="00D521B7" w:rsidP="00D521B7">
      <w:pPr>
        <w:widowControl w:val="0"/>
        <w:autoSpaceDE w:val="0"/>
        <w:autoSpaceDN w:val="0"/>
        <w:adjustRightInd w:val="0"/>
        <w:ind w:left="640" w:hanging="640"/>
        <w:rPr>
          <w:rFonts w:cs="Times New Roman"/>
          <w:noProof/>
          <w:szCs w:val="24"/>
        </w:rPr>
      </w:pPr>
      <w:r w:rsidRPr="003F3B0B">
        <w:rPr>
          <w:rFonts w:cs="Times New Roman"/>
          <w:noProof/>
          <w:szCs w:val="24"/>
        </w:rPr>
        <w:t>[16]</w:t>
      </w:r>
      <w:r w:rsidRPr="003F3B0B">
        <w:rPr>
          <w:rFonts w:cs="Times New Roman"/>
          <w:noProof/>
          <w:szCs w:val="24"/>
        </w:rPr>
        <w:tab/>
        <w:t>Araújo JA, Nowell D. Analysis of pad size effects in fretting fatigue using short crack arrest methodologies. Int J Fatigue 1999;21:947–56. doi:10.1016/S0142-1123(99)00077-8.</w:t>
      </w:r>
    </w:p>
    <w:p w14:paraId="450AEF0B" w14:textId="77777777" w:rsidR="00D521B7" w:rsidRPr="003F3B0B" w:rsidRDefault="00D521B7" w:rsidP="00D521B7">
      <w:pPr>
        <w:widowControl w:val="0"/>
        <w:autoSpaceDE w:val="0"/>
        <w:autoSpaceDN w:val="0"/>
        <w:adjustRightInd w:val="0"/>
        <w:ind w:left="640" w:hanging="640"/>
        <w:rPr>
          <w:rFonts w:cs="Times New Roman"/>
          <w:noProof/>
          <w:szCs w:val="24"/>
        </w:rPr>
      </w:pPr>
      <w:r w:rsidRPr="003F3B0B">
        <w:rPr>
          <w:rFonts w:cs="Times New Roman"/>
          <w:noProof/>
          <w:szCs w:val="24"/>
        </w:rPr>
        <w:t>[17]</w:t>
      </w:r>
      <w:r w:rsidRPr="003F3B0B">
        <w:rPr>
          <w:rFonts w:cs="Times New Roman"/>
          <w:noProof/>
          <w:szCs w:val="24"/>
        </w:rPr>
        <w:tab/>
        <w:t>Nowell D, Dini D. Stress gradient effects in fretting fatigue. Tribol Int 2003. doi:10.1016/S0301-679X(02)00134-2.</w:t>
      </w:r>
    </w:p>
    <w:p w14:paraId="4F81632B" w14:textId="77777777" w:rsidR="00D521B7" w:rsidRPr="003F3B0B" w:rsidRDefault="00D521B7" w:rsidP="00D521B7">
      <w:pPr>
        <w:widowControl w:val="0"/>
        <w:autoSpaceDE w:val="0"/>
        <w:autoSpaceDN w:val="0"/>
        <w:adjustRightInd w:val="0"/>
        <w:ind w:left="640" w:hanging="640"/>
        <w:rPr>
          <w:rFonts w:cs="Times New Roman"/>
          <w:noProof/>
          <w:szCs w:val="24"/>
        </w:rPr>
      </w:pPr>
      <w:r w:rsidRPr="003F3B0B">
        <w:rPr>
          <w:rFonts w:cs="Times New Roman"/>
          <w:noProof/>
          <w:szCs w:val="24"/>
        </w:rPr>
        <w:t>[18]</w:t>
      </w:r>
      <w:r w:rsidRPr="003F3B0B">
        <w:rPr>
          <w:rFonts w:cs="Times New Roman"/>
          <w:noProof/>
          <w:szCs w:val="24"/>
        </w:rPr>
        <w:tab/>
        <w:t>Burke RN, Witz JA. NFretting Fatigue of Flexible Pipe Pressure Armour. 3rd Eur. Conf. Flex. Pipes, Unbilicals Mar. Cables - Mater. Util. Cycl. Therm. Load., 1995.</w:t>
      </w:r>
    </w:p>
    <w:p w14:paraId="31C65139" w14:textId="77777777" w:rsidR="00D521B7" w:rsidRPr="003F3B0B" w:rsidRDefault="00D521B7" w:rsidP="00D521B7">
      <w:pPr>
        <w:widowControl w:val="0"/>
        <w:autoSpaceDE w:val="0"/>
        <w:autoSpaceDN w:val="0"/>
        <w:adjustRightInd w:val="0"/>
        <w:ind w:left="640" w:hanging="640"/>
        <w:rPr>
          <w:rFonts w:cs="Times New Roman"/>
          <w:noProof/>
          <w:szCs w:val="24"/>
        </w:rPr>
      </w:pPr>
      <w:r w:rsidRPr="003F3B0B">
        <w:rPr>
          <w:rFonts w:cs="Times New Roman"/>
          <w:noProof/>
          <w:szCs w:val="24"/>
        </w:rPr>
        <w:t>[19]</w:t>
      </w:r>
      <w:r w:rsidRPr="003F3B0B">
        <w:rPr>
          <w:rFonts w:cs="Times New Roman"/>
          <w:noProof/>
          <w:szCs w:val="24"/>
        </w:rPr>
        <w:tab/>
        <w:t xml:space="preserve">Perera SDR, Fernando US, Sheldrake T, Clements R. An investigation into fretting behaviour in pressure armor wires of unbonded flexible pipes. Vol. 3 Pipeline Riser </w:t>
      </w:r>
      <w:r w:rsidRPr="003F3B0B">
        <w:rPr>
          <w:rFonts w:cs="Times New Roman"/>
          <w:noProof/>
          <w:szCs w:val="24"/>
        </w:rPr>
        <w:lastRenderedPageBreak/>
        <w:t>Technol. CFD VIV, vol. 3, San Diego, California, USA: 2007, p. 363–70. doi:10.1115/OMAE2007-29393.</w:t>
      </w:r>
    </w:p>
    <w:p w14:paraId="2026C110" w14:textId="77777777" w:rsidR="00D521B7" w:rsidRPr="003F3B0B" w:rsidRDefault="00D521B7" w:rsidP="00D521B7">
      <w:pPr>
        <w:widowControl w:val="0"/>
        <w:autoSpaceDE w:val="0"/>
        <w:autoSpaceDN w:val="0"/>
        <w:adjustRightInd w:val="0"/>
        <w:ind w:left="640" w:hanging="640"/>
        <w:rPr>
          <w:rFonts w:cs="Times New Roman"/>
          <w:noProof/>
          <w:szCs w:val="24"/>
        </w:rPr>
      </w:pPr>
      <w:r w:rsidRPr="003F3B0B">
        <w:rPr>
          <w:rFonts w:cs="Times New Roman"/>
          <w:noProof/>
          <w:szCs w:val="24"/>
        </w:rPr>
        <w:t>[20]</w:t>
      </w:r>
      <w:r w:rsidRPr="003F3B0B">
        <w:rPr>
          <w:rFonts w:cs="Times New Roman"/>
          <w:noProof/>
          <w:szCs w:val="24"/>
        </w:rPr>
        <w:tab/>
        <w:t>Féret JJ, Bournazel CL. Calculation of stresses and slip in structural layers of unbonded flexible pipes. J Offshore Mech Arct Eng 1987;109:263. doi:10.1115/1.3257019.</w:t>
      </w:r>
    </w:p>
    <w:p w14:paraId="09C955FD" w14:textId="77777777" w:rsidR="00D521B7" w:rsidRPr="003F3B0B" w:rsidRDefault="00D521B7" w:rsidP="00D521B7">
      <w:pPr>
        <w:widowControl w:val="0"/>
        <w:autoSpaceDE w:val="0"/>
        <w:autoSpaceDN w:val="0"/>
        <w:adjustRightInd w:val="0"/>
        <w:ind w:left="640" w:hanging="640"/>
        <w:rPr>
          <w:rFonts w:cs="Times New Roman"/>
          <w:noProof/>
          <w:szCs w:val="24"/>
        </w:rPr>
      </w:pPr>
      <w:r w:rsidRPr="003F3B0B">
        <w:rPr>
          <w:rFonts w:cs="Times New Roman"/>
          <w:noProof/>
          <w:szCs w:val="24"/>
        </w:rPr>
        <w:t>[21]</w:t>
      </w:r>
      <w:r w:rsidRPr="003F3B0B">
        <w:rPr>
          <w:rFonts w:cs="Times New Roman"/>
          <w:noProof/>
          <w:szCs w:val="24"/>
        </w:rPr>
        <w:tab/>
        <w:t>O’Halloran SM, Harte AM, Shipway PH, Leen SB. An experimental study on the key fretting variables for flexible marine risers. Tribol Int 2018;117:141–51. doi:10.1016/J.TRIBOINT.2017.07.032.</w:t>
      </w:r>
    </w:p>
    <w:p w14:paraId="0BF46FDA" w14:textId="77777777" w:rsidR="00D521B7" w:rsidRPr="003F3B0B" w:rsidRDefault="00D521B7" w:rsidP="00D521B7">
      <w:pPr>
        <w:widowControl w:val="0"/>
        <w:autoSpaceDE w:val="0"/>
        <w:autoSpaceDN w:val="0"/>
        <w:adjustRightInd w:val="0"/>
        <w:ind w:left="640" w:hanging="640"/>
        <w:rPr>
          <w:rFonts w:cs="Times New Roman"/>
          <w:noProof/>
          <w:szCs w:val="24"/>
        </w:rPr>
      </w:pPr>
      <w:r w:rsidRPr="003F3B0B">
        <w:rPr>
          <w:rFonts w:cs="Times New Roman"/>
          <w:noProof/>
          <w:szCs w:val="24"/>
        </w:rPr>
        <w:t>[22]</w:t>
      </w:r>
      <w:r w:rsidRPr="003F3B0B">
        <w:rPr>
          <w:rFonts w:cs="Times New Roman"/>
          <w:noProof/>
          <w:szCs w:val="24"/>
        </w:rPr>
        <w:tab/>
        <w:t>O’Halloran SM, Harte AM, Connaire AD, Leen SB. Modelling of fretting in the pressure armour layer of flexible marine risers. Tribol Int 2016;100:306–16. doi:10.1016/j.triboint.2016.02.040.</w:t>
      </w:r>
    </w:p>
    <w:p w14:paraId="3B73C6BA" w14:textId="77777777" w:rsidR="00D521B7" w:rsidRPr="003F3B0B" w:rsidRDefault="00D521B7" w:rsidP="00D521B7">
      <w:pPr>
        <w:widowControl w:val="0"/>
        <w:autoSpaceDE w:val="0"/>
        <w:autoSpaceDN w:val="0"/>
        <w:adjustRightInd w:val="0"/>
        <w:ind w:left="640" w:hanging="640"/>
        <w:rPr>
          <w:rFonts w:cs="Times New Roman"/>
          <w:noProof/>
          <w:szCs w:val="24"/>
        </w:rPr>
      </w:pPr>
      <w:r w:rsidRPr="003F3B0B">
        <w:rPr>
          <w:rFonts w:cs="Times New Roman"/>
          <w:noProof/>
          <w:szCs w:val="24"/>
        </w:rPr>
        <w:t>[23]</w:t>
      </w:r>
      <w:r w:rsidRPr="003F3B0B">
        <w:rPr>
          <w:rFonts w:cs="Times New Roman"/>
          <w:noProof/>
          <w:szCs w:val="24"/>
        </w:rPr>
        <w:tab/>
        <w:t>O’Halloran SM, Shipway PH, Connaire AD, Leen SB, Harte AM. A combined wear-fatigue design methodology for fretting in the pressure armour layer of flexible marine risers. Tribol Int 2017;108:7–15. doi:10.1016/J.TRIBOINT.2016.10.020.</w:t>
      </w:r>
    </w:p>
    <w:p w14:paraId="639BA0D0" w14:textId="77777777" w:rsidR="00D521B7" w:rsidRPr="003F3B0B" w:rsidRDefault="00D521B7" w:rsidP="00D521B7">
      <w:pPr>
        <w:widowControl w:val="0"/>
        <w:autoSpaceDE w:val="0"/>
        <w:autoSpaceDN w:val="0"/>
        <w:adjustRightInd w:val="0"/>
        <w:ind w:left="640" w:hanging="640"/>
        <w:rPr>
          <w:rFonts w:cs="Times New Roman"/>
          <w:noProof/>
          <w:szCs w:val="24"/>
        </w:rPr>
      </w:pPr>
      <w:r w:rsidRPr="003F3B0B">
        <w:rPr>
          <w:rFonts w:cs="Times New Roman"/>
          <w:noProof/>
          <w:szCs w:val="24"/>
        </w:rPr>
        <w:t>[24]</w:t>
      </w:r>
      <w:r w:rsidRPr="003F3B0B">
        <w:rPr>
          <w:rFonts w:cs="Times New Roman"/>
          <w:noProof/>
          <w:szCs w:val="24"/>
        </w:rPr>
        <w:tab/>
        <w:t>Ding J, Houghton D, Williams EJ, Leen SB. Simple parameters to predict effect of surface damage on fretting fatigue. Int J Fatigue 2011;33:332–42. doi:10.1016/j.ijfatigue.2010.09.008.</w:t>
      </w:r>
    </w:p>
    <w:p w14:paraId="64754432" w14:textId="77777777" w:rsidR="00D521B7" w:rsidRPr="003F3B0B" w:rsidRDefault="00D521B7" w:rsidP="00D521B7">
      <w:pPr>
        <w:widowControl w:val="0"/>
        <w:autoSpaceDE w:val="0"/>
        <w:autoSpaceDN w:val="0"/>
        <w:adjustRightInd w:val="0"/>
        <w:ind w:left="640" w:hanging="640"/>
        <w:rPr>
          <w:rFonts w:cs="Times New Roman"/>
          <w:noProof/>
          <w:szCs w:val="24"/>
        </w:rPr>
      </w:pPr>
      <w:r w:rsidRPr="003F3B0B">
        <w:rPr>
          <w:rFonts w:cs="Times New Roman"/>
          <w:noProof/>
          <w:szCs w:val="24"/>
        </w:rPr>
        <w:t>[25]</w:t>
      </w:r>
      <w:r w:rsidRPr="003F3B0B">
        <w:rPr>
          <w:rFonts w:cs="Times New Roman"/>
          <w:noProof/>
          <w:szCs w:val="24"/>
        </w:rPr>
        <w:tab/>
        <w:t>O’Halloran S, Harte A, Connaire A, Leen S. The Prediction of Fretting Fatigue in the Pressure Armours of Dynamic Flexible Pipes. Offshore Technol. Conf., Offshore Technology Conference; 2016. doi:10.4043/26985-MS.</w:t>
      </w:r>
    </w:p>
    <w:p w14:paraId="01C61CF1" w14:textId="77777777" w:rsidR="00D521B7" w:rsidRPr="003F3B0B" w:rsidRDefault="00D521B7" w:rsidP="00D521B7">
      <w:pPr>
        <w:widowControl w:val="0"/>
        <w:autoSpaceDE w:val="0"/>
        <w:autoSpaceDN w:val="0"/>
        <w:adjustRightInd w:val="0"/>
        <w:ind w:left="640" w:hanging="640"/>
        <w:rPr>
          <w:rFonts w:cs="Times New Roman"/>
          <w:noProof/>
          <w:szCs w:val="24"/>
        </w:rPr>
      </w:pPr>
      <w:r w:rsidRPr="003F3B0B">
        <w:rPr>
          <w:rFonts w:cs="Times New Roman"/>
          <w:noProof/>
          <w:szCs w:val="24"/>
        </w:rPr>
        <w:t>[26]</w:t>
      </w:r>
      <w:r w:rsidRPr="003F3B0B">
        <w:rPr>
          <w:rFonts w:cs="Times New Roman"/>
          <w:noProof/>
          <w:szCs w:val="24"/>
        </w:rPr>
        <w:tab/>
        <w:t>O’Halloran SM. Experimental Characterisation , Computational Modelling and Design Tool Development for Fretting Fatigue and Wear in Flexible Marine Risers. Ph.D. Thesis, Mechanical Engineering, National University of Ireland Galway, 2017.</w:t>
      </w:r>
    </w:p>
    <w:p w14:paraId="2850F6CF" w14:textId="77777777" w:rsidR="00D521B7" w:rsidRPr="003F3B0B" w:rsidRDefault="00D521B7" w:rsidP="00D521B7">
      <w:pPr>
        <w:widowControl w:val="0"/>
        <w:autoSpaceDE w:val="0"/>
        <w:autoSpaceDN w:val="0"/>
        <w:adjustRightInd w:val="0"/>
        <w:ind w:left="640" w:hanging="640"/>
        <w:rPr>
          <w:rFonts w:cs="Times New Roman"/>
          <w:noProof/>
          <w:szCs w:val="24"/>
        </w:rPr>
      </w:pPr>
      <w:r w:rsidRPr="003F3B0B">
        <w:rPr>
          <w:rFonts w:cs="Times New Roman"/>
          <w:noProof/>
          <w:szCs w:val="24"/>
        </w:rPr>
        <w:lastRenderedPageBreak/>
        <w:t>[27]</w:t>
      </w:r>
      <w:r w:rsidRPr="003F3B0B">
        <w:rPr>
          <w:rFonts w:cs="Times New Roman"/>
          <w:noProof/>
          <w:szCs w:val="24"/>
        </w:rPr>
        <w:tab/>
        <w:t>Hills DA, Sackfield A, Paynter RJH. Simulation of Fretting Wear in Halfplane Geometries: Part 1—The Solution for Long Term Wear. J Tribol 2009;131:31401. doi:10.1115/1.3118785.</w:t>
      </w:r>
    </w:p>
    <w:p w14:paraId="451931F4" w14:textId="77777777" w:rsidR="00D521B7" w:rsidRPr="003F3B0B" w:rsidRDefault="00D521B7" w:rsidP="00D521B7">
      <w:pPr>
        <w:widowControl w:val="0"/>
        <w:autoSpaceDE w:val="0"/>
        <w:autoSpaceDN w:val="0"/>
        <w:adjustRightInd w:val="0"/>
        <w:ind w:left="640" w:hanging="640"/>
        <w:rPr>
          <w:rFonts w:cs="Times New Roman"/>
          <w:noProof/>
          <w:szCs w:val="24"/>
        </w:rPr>
      </w:pPr>
      <w:r w:rsidRPr="003F3B0B">
        <w:rPr>
          <w:rFonts w:cs="Times New Roman"/>
          <w:noProof/>
          <w:szCs w:val="24"/>
        </w:rPr>
        <w:t>[28]</w:t>
      </w:r>
      <w:r w:rsidRPr="003F3B0B">
        <w:rPr>
          <w:rFonts w:cs="Times New Roman"/>
          <w:noProof/>
          <w:szCs w:val="24"/>
        </w:rPr>
        <w:tab/>
        <w:t>Nowell D. Simulation of Fretting Wear in Half-Plane Geometries—Part II: Analysis of the Transient Wear Problem Using Quadratic Programming. J Tribol 2010;132:21402. doi:10.1115/1.4000733.</w:t>
      </w:r>
    </w:p>
    <w:p w14:paraId="729E2472" w14:textId="77777777" w:rsidR="00D521B7" w:rsidRPr="003F3B0B" w:rsidRDefault="00D521B7" w:rsidP="00D521B7">
      <w:pPr>
        <w:widowControl w:val="0"/>
        <w:autoSpaceDE w:val="0"/>
        <w:autoSpaceDN w:val="0"/>
        <w:adjustRightInd w:val="0"/>
        <w:ind w:left="640" w:hanging="640"/>
        <w:rPr>
          <w:rFonts w:cs="Times New Roman"/>
          <w:noProof/>
          <w:szCs w:val="24"/>
        </w:rPr>
      </w:pPr>
      <w:r w:rsidRPr="003F3B0B">
        <w:rPr>
          <w:rFonts w:cs="Times New Roman"/>
          <w:noProof/>
          <w:szCs w:val="24"/>
        </w:rPr>
        <w:t>[29]</w:t>
      </w:r>
      <w:r w:rsidRPr="003F3B0B">
        <w:rPr>
          <w:rFonts w:cs="Times New Roman"/>
          <w:noProof/>
          <w:szCs w:val="24"/>
        </w:rPr>
        <w:tab/>
        <w:t>Lane M, O’Sullivan T, Grealish F, Kavanagh K, Thompson H. Advanced Frequency Domain Analysis Techniques for Steel Catenary Risers. Offshore Technol. Conf., Houston, Texas, USA: 2001, p. 1–14. doi:10.4043/13017-MS.</w:t>
      </w:r>
    </w:p>
    <w:p w14:paraId="37E91C34" w14:textId="77777777" w:rsidR="00D521B7" w:rsidRPr="003F3B0B" w:rsidRDefault="00D521B7" w:rsidP="00D521B7">
      <w:pPr>
        <w:widowControl w:val="0"/>
        <w:autoSpaceDE w:val="0"/>
        <w:autoSpaceDN w:val="0"/>
        <w:adjustRightInd w:val="0"/>
        <w:ind w:left="640" w:hanging="640"/>
        <w:rPr>
          <w:rFonts w:cs="Times New Roman"/>
          <w:noProof/>
          <w:szCs w:val="24"/>
        </w:rPr>
      </w:pPr>
      <w:r w:rsidRPr="003F3B0B">
        <w:rPr>
          <w:rFonts w:cs="Times New Roman"/>
          <w:noProof/>
          <w:szCs w:val="24"/>
        </w:rPr>
        <w:t>[30]</w:t>
      </w:r>
      <w:r w:rsidRPr="003F3B0B">
        <w:rPr>
          <w:rFonts w:cs="Times New Roman"/>
          <w:noProof/>
          <w:szCs w:val="24"/>
        </w:rPr>
        <w:tab/>
        <w:t>Lang DW, Connolly A, Lane M, Connaire AD. Advances in Frequency and Time Domain Coupled Analysis for Floating Production and Offloading Systems. Int. Conf. Offshore Mech. Arct. Eng., Halkidiki, Greese: 2005. doi:10.1115/OMAE2005-67396.</w:t>
      </w:r>
    </w:p>
    <w:p w14:paraId="04EBDB39" w14:textId="77777777" w:rsidR="00D521B7" w:rsidRPr="003F3B0B" w:rsidRDefault="00D521B7" w:rsidP="00D521B7">
      <w:pPr>
        <w:widowControl w:val="0"/>
        <w:autoSpaceDE w:val="0"/>
        <w:autoSpaceDN w:val="0"/>
        <w:adjustRightInd w:val="0"/>
        <w:ind w:left="640" w:hanging="640"/>
        <w:rPr>
          <w:rFonts w:cs="Times New Roman"/>
          <w:noProof/>
          <w:szCs w:val="24"/>
        </w:rPr>
      </w:pPr>
      <w:r w:rsidRPr="003F3B0B">
        <w:rPr>
          <w:rFonts w:cs="Times New Roman"/>
          <w:noProof/>
          <w:szCs w:val="24"/>
        </w:rPr>
        <w:t>[31]</w:t>
      </w:r>
      <w:r w:rsidRPr="003F3B0B">
        <w:rPr>
          <w:rFonts w:cs="Times New Roman"/>
          <w:noProof/>
          <w:szCs w:val="24"/>
        </w:rPr>
        <w:tab/>
        <w:t>O’Brien PJ, Lane M, McNamara JF. Improvements to the convected co-ordinates method for predicting large deflection extreme riser response. Int. Conf. Offshore Mech. Arct. Eng., Oslo, Norway: 2002. doi:10.1115/OMAE2002-28237.</w:t>
      </w:r>
    </w:p>
    <w:p w14:paraId="6745D57F" w14:textId="77777777" w:rsidR="00D521B7" w:rsidRPr="003F3B0B" w:rsidRDefault="00D521B7" w:rsidP="00D521B7">
      <w:pPr>
        <w:widowControl w:val="0"/>
        <w:autoSpaceDE w:val="0"/>
        <w:autoSpaceDN w:val="0"/>
        <w:adjustRightInd w:val="0"/>
        <w:ind w:left="640" w:hanging="640"/>
        <w:rPr>
          <w:rFonts w:cs="Times New Roman"/>
          <w:noProof/>
          <w:szCs w:val="24"/>
        </w:rPr>
      </w:pPr>
      <w:r w:rsidRPr="003F3B0B">
        <w:rPr>
          <w:rFonts w:cs="Times New Roman"/>
          <w:noProof/>
          <w:szCs w:val="24"/>
        </w:rPr>
        <w:t>[32]</w:t>
      </w:r>
      <w:r w:rsidRPr="003F3B0B">
        <w:rPr>
          <w:rFonts w:cs="Times New Roman"/>
          <w:noProof/>
          <w:szCs w:val="24"/>
        </w:rPr>
        <w:tab/>
        <w:t>O’Brien PJ, McNamara JF, Lane. Three dimensional finite displacements and rotations of flexible beams including non-equal bending stiffnesses. Int. Conf. Offshore Mech. Arct. Eng., Cancun, Mexico: 2003. doi:10.1115/OMAE2003-37372.</w:t>
      </w:r>
    </w:p>
    <w:p w14:paraId="7D1C6763" w14:textId="77777777" w:rsidR="00D521B7" w:rsidRPr="003F3B0B" w:rsidRDefault="00D521B7" w:rsidP="00D521B7">
      <w:pPr>
        <w:widowControl w:val="0"/>
        <w:autoSpaceDE w:val="0"/>
        <w:autoSpaceDN w:val="0"/>
        <w:adjustRightInd w:val="0"/>
        <w:ind w:left="640" w:hanging="640"/>
        <w:rPr>
          <w:rFonts w:cs="Times New Roman"/>
          <w:noProof/>
          <w:szCs w:val="24"/>
        </w:rPr>
      </w:pPr>
      <w:r w:rsidRPr="003F3B0B">
        <w:rPr>
          <w:rFonts w:cs="Times New Roman"/>
          <w:noProof/>
          <w:szCs w:val="24"/>
        </w:rPr>
        <w:t>[33]</w:t>
      </w:r>
      <w:r w:rsidRPr="003F3B0B">
        <w:rPr>
          <w:rFonts w:cs="Times New Roman"/>
          <w:noProof/>
          <w:szCs w:val="24"/>
        </w:rPr>
        <w:tab/>
        <w:t>Smith R, Carr T, Lane M. Computational tool for the dynamic analysis of flexible risers incorporating benging hysteresis. Int. Conf. Offshore Mech. Arct. Eng., San Diego, California, USA: 2007. doi:10.1115/OMAE2007-29276.</w:t>
      </w:r>
    </w:p>
    <w:p w14:paraId="45B743A4" w14:textId="77777777" w:rsidR="00D521B7" w:rsidRPr="003F3B0B" w:rsidRDefault="00D521B7" w:rsidP="00D521B7">
      <w:pPr>
        <w:widowControl w:val="0"/>
        <w:autoSpaceDE w:val="0"/>
        <w:autoSpaceDN w:val="0"/>
        <w:adjustRightInd w:val="0"/>
        <w:ind w:left="640" w:hanging="640"/>
        <w:rPr>
          <w:rFonts w:cs="Times New Roman"/>
          <w:noProof/>
          <w:szCs w:val="24"/>
        </w:rPr>
      </w:pPr>
      <w:r w:rsidRPr="003F3B0B">
        <w:rPr>
          <w:rFonts w:cs="Times New Roman"/>
          <w:noProof/>
          <w:szCs w:val="24"/>
        </w:rPr>
        <w:t>[34]</w:t>
      </w:r>
      <w:r w:rsidRPr="003F3B0B">
        <w:rPr>
          <w:rFonts w:cs="Times New Roman"/>
          <w:noProof/>
          <w:szCs w:val="24"/>
        </w:rPr>
        <w:tab/>
        <w:t xml:space="preserve">Connaire A, O’Brien P, Harte AM, O’Connor A. Advancements in subsea riser analysis using quasi-rotations and the Newton-Raphson method. Int J Non-Linear </w:t>
      </w:r>
      <w:r w:rsidRPr="003F3B0B">
        <w:rPr>
          <w:rFonts w:cs="Times New Roman"/>
          <w:noProof/>
          <w:szCs w:val="24"/>
        </w:rPr>
        <w:lastRenderedPageBreak/>
        <w:t>Mech 2015;70:47–62. doi:10.1016/j.ijnonlinmec.2014.10.021.</w:t>
      </w:r>
    </w:p>
    <w:p w14:paraId="22AABC07" w14:textId="77777777" w:rsidR="00D521B7" w:rsidRPr="003F3B0B" w:rsidRDefault="00D521B7" w:rsidP="00D521B7">
      <w:pPr>
        <w:widowControl w:val="0"/>
        <w:autoSpaceDE w:val="0"/>
        <w:autoSpaceDN w:val="0"/>
        <w:adjustRightInd w:val="0"/>
        <w:ind w:left="640" w:hanging="640"/>
        <w:rPr>
          <w:rFonts w:cs="Times New Roman"/>
          <w:noProof/>
          <w:szCs w:val="24"/>
        </w:rPr>
      </w:pPr>
      <w:r w:rsidRPr="003F3B0B">
        <w:rPr>
          <w:rFonts w:cs="Times New Roman"/>
          <w:noProof/>
          <w:szCs w:val="24"/>
        </w:rPr>
        <w:t>[35]</w:t>
      </w:r>
      <w:r w:rsidRPr="003F3B0B">
        <w:rPr>
          <w:rFonts w:cs="Times New Roman"/>
          <w:noProof/>
          <w:szCs w:val="24"/>
        </w:rPr>
        <w:tab/>
        <w:t>Flexcom Introductory Manual, April 2014: Wood Group Kenny. n.d.</w:t>
      </w:r>
    </w:p>
    <w:p w14:paraId="0AFC1D08" w14:textId="77777777" w:rsidR="00D521B7" w:rsidRPr="003F3B0B" w:rsidRDefault="00D521B7" w:rsidP="00D521B7">
      <w:pPr>
        <w:widowControl w:val="0"/>
        <w:autoSpaceDE w:val="0"/>
        <w:autoSpaceDN w:val="0"/>
        <w:adjustRightInd w:val="0"/>
        <w:ind w:left="640" w:hanging="640"/>
        <w:rPr>
          <w:rFonts w:cs="Times New Roman"/>
          <w:noProof/>
          <w:szCs w:val="24"/>
        </w:rPr>
      </w:pPr>
      <w:r w:rsidRPr="003F3B0B">
        <w:rPr>
          <w:rFonts w:cs="Times New Roman"/>
          <w:noProof/>
          <w:szCs w:val="24"/>
        </w:rPr>
        <w:t>[36]</w:t>
      </w:r>
      <w:r w:rsidRPr="003F3B0B">
        <w:rPr>
          <w:rFonts w:cs="Times New Roman"/>
          <w:noProof/>
          <w:szCs w:val="24"/>
        </w:rPr>
        <w:tab/>
        <w:t>Lanteigne J. Theoretical Estimation of the Response of Helically Armored Cables to Tension, Torsion, and Bending. J Appl Mech 1985;52:423. doi:10.1115/1.3169064.</w:t>
      </w:r>
    </w:p>
    <w:p w14:paraId="04F27023" w14:textId="77777777" w:rsidR="00D521B7" w:rsidRPr="003F3B0B" w:rsidRDefault="00D521B7" w:rsidP="00D521B7">
      <w:pPr>
        <w:widowControl w:val="0"/>
        <w:autoSpaceDE w:val="0"/>
        <w:autoSpaceDN w:val="0"/>
        <w:adjustRightInd w:val="0"/>
        <w:ind w:left="640" w:hanging="640"/>
        <w:rPr>
          <w:rFonts w:cs="Times New Roman"/>
          <w:noProof/>
          <w:szCs w:val="24"/>
        </w:rPr>
      </w:pPr>
      <w:r w:rsidRPr="003F3B0B">
        <w:rPr>
          <w:rFonts w:cs="Times New Roman"/>
          <w:noProof/>
          <w:szCs w:val="24"/>
        </w:rPr>
        <w:t>[37]</w:t>
      </w:r>
      <w:r w:rsidRPr="003F3B0B">
        <w:rPr>
          <w:rFonts w:cs="Times New Roman"/>
          <w:noProof/>
          <w:szCs w:val="24"/>
        </w:rPr>
        <w:tab/>
        <w:t>McNamara JF, Harte AM. Three-dimensional analytical simulation of flexible pipe wall structure. J Offshore Mech Arct Eng 1992;114:69–75. doi:10.1115/1.2919961.</w:t>
      </w:r>
    </w:p>
    <w:p w14:paraId="63C492FA" w14:textId="77777777" w:rsidR="00D521B7" w:rsidRPr="003F3B0B" w:rsidRDefault="00D521B7" w:rsidP="00D521B7">
      <w:pPr>
        <w:widowControl w:val="0"/>
        <w:autoSpaceDE w:val="0"/>
        <w:autoSpaceDN w:val="0"/>
        <w:adjustRightInd w:val="0"/>
        <w:ind w:left="640" w:hanging="640"/>
        <w:rPr>
          <w:rFonts w:cs="Times New Roman"/>
          <w:noProof/>
          <w:szCs w:val="24"/>
        </w:rPr>
      </w:pPr>
      <w:r w:rsidRPr="003F3B0B">
        <w:rPr>
          <w:rFonts w:cs="Times New Roman"/>
          <w:noProof/>
          <w:szCs w:val="24"/>
        </w:rPr>
        <w:t>[38]</w:t>
      </w:r>
      <w:r w:rsidRPr="003F3B0B">
        <w:rPr>
          <w:rFonts w:cs="Times New Roman"/>
          <w:noProof/>
          <w:szCs w:val="24"/>
        </w:rPr>
        <w:tab/>
        <w:t>Hoffman J, Dupont W, Reynolds B. A fatigue-life prediction model for metallic tube umbilicals. Offshore Technol. Conf., 2001. doi:10.4043/13203-MS.</w:t>
      </w:r>
    </w:p>
    <w:p w14:paraId="07477DBB" w14:textId="77777777" w:rsidR="00D521B7" w:rsidRPr="003F3B0B" w:rsidRDefault="00D521B7" w:rsidP="00D521B7">
      <w:pPr>
        <w:widowControl w:val="0"/>
        <w:autoSpaceDE w:val="0"/>
        <w:autoSpaceDN w:val="0"/>
        <w:adjustRightInd w:val="0"/>
        <w:ind w:left="640" w:hanging="640"/>
        <w:rPr>
          <w:rFonts w:cs="Times New Roman"/>
          <w:noProof/>
          <w:szCs w:val="24"/>
        </w:rPr>
      </w:pPr>
      <w:r w:rsidRPr="003F3B0B">
        <w:rPr>
          <w:rFonts w:cs="Times New Roman"/>
          <w:noProof/>
          <w:szCs w:val="24"/>
        </w:rPr>
        <w:t>[39]</w:t>
      </w:r>
      <w:r w:rsidRPr="003F3B0B">
        <w:rPr>
          <w:rFonts w:cs="Times New Roman"/>
          <w:noProof/>
          <w:szCs w:val="24"/>
        </w:rPr>
        <w:tab/>
        <w:t>Ashton P. Micromechanical modelling of size effects in crack initiation with application to fretting fatigue and cold dwell fatigue. Ph.D. Thesis, Mechanical Engineering, National University of Ireland Galway, 2018.</w:t>
      </w:r>
    </w:p>
    <w:p w14:paraId="5CAF1A8A" w14:textId="77777777" w:rsidR="00D521B7" w:rsidRPr="003F3B0B" w:rsidRDefault="00D521B7" w:rsidP="00D521B7">
      <w:pPr>
        <w:widowControl w:val="0"/>
        <w:autoSpaceDE w:val="0"/>
        <w:autoSpaceDN w:val="0"/>
        <w:adjustRightInd w:val="0"/>
        <w:ind w:left="640" w:hanging="640"/>
        <w:rPr>
          <w:rFonts w:cs="Times New Roman"/>
          <w:noProof/>
          <w:szCs w:val="24"/>
        </w:rPr>
      </w:pPr>
      <w:r w:rsidRPr="003F3B0B">
        <w:rPr>
          <w:rFonts w:cs="Times New Roman"/>
          <w:noProof/>
          <w:szCs w:val="24"/>
        </w:rPr>
        <w:t>[40]</w:t>
      </w:r>
      <w:r w:rsidRPr="003F3B0B">
        <w:rPr>
          <w:rFonts w:cs="Times New Roman"/>
          <w:noProof/>
          <w:szCs w:val="24"/>
        </w:rPr>
        <w:tab/>
        <w:t>ASTM International. ASTM D4170-10 Standard test method for fretting wear protection by lubricating greases 2010. doi:10.1520/D4170-10.</w:t>
      </w:r>
    </w:p>
    <w:p w14:paraId="449A1565" w14:textId="77777777" w:rsidR="00D521B7" w:rsidRPr="003F3B0B" w:rsidRDefault="00D521B7" w:rsidP="00D521B7">
      <w:pPr>
        <w:widowControl w:val="0"/>
        <w:autoSpaceDE w:val="0"/>
        <w:autoSpaceDN w:val="0"/>
        <w:adjustRightInd w:val="0"/>
        <w:ind w:left="640" w:hanging="640"/>
        <w:rPr>
          <w:rFonts w:cs="Times New Roman"/>
          <w:noProof/>
          <w:szCs w:val="24"/>
        </w:rPr>
      </w:pPr>
      <w:r w:rsidRPr="003F3B0B">
        <w:rPr>
          <w:rFonts w:cs="Times New Roman"/>
          <w:noProof/>
          <w:szCs w:val="24"/>
        </w:rPr>
        <w:t>[41]</w:t>
      </w:r>
      <w:r w:rsidRPr="003F3B0B">
        <w:rPr>
          <w:rFonts w:cs="Times New Roman"/>
          <w:noProof/>
          <w:szCs w:val="24"/>
        </w:rPr>
        <w:tab/>
        <w:t>ASTM International. ASTM D7594-11 Standard test method for determining fretting wear resistance of lubricating greases under high Hertzian contact pressure using a high-frequency, linear-oscillation (SVR) test machine 2011. doi:10.1520/D7594-11.</w:t>
      </w:r>
    </w:p>
    <w:p w14:paraId="6633A7CB" w14:textId="77777777" w:rsidR="00D521B7" w:rsidRPr="003F3B0B" w:rsidRDefault="00D521B7" w:rsidP="00D521B7">
      <w:pPr>
        <w:widowControl w:val="0"/>
        <w:autoSpaceDE w:val="0"/>
        <w:autoSpaceDN w:val="0"/>
        <w:adjustRightInd w:val="0"/>
        <w:ind w:left="640" w:hanging="640"/>
        <w:rPr>
          <w:rFonts w:cs="Times New Roman"/>
          <w:noProof/>
          <w:szCs w:val="24"/>
        </w:rPr>
      </w:pPr>
      <w:r w:rsidRPr="003F3B0B">
        <w:rPr>
          <w:rFonts w:cs="Times New Roman"/>
          <w:noProof/>
          <w:szCs w:val="24"/>
        </w:rPr>
        <w:t>[42]</w:t>
      </w:r>
      <w:r w:rsidRPr="003F3B0B">
        <w:rPr>
          <w:rFonts w:cs="Times New Roman"/>
          <w:noProof/>
          <w:szCs w:val="24"/>
        </w:rPr>
        <w:tab/>
        <w:t>Fouvry S, Duó P, Perruchaut P. A quantitative approach of Ti-6Al-4V fretting damage: Friction, wear and crack nucleation. Wear 2004;257:916–29. doi:10.1016/j.wear.2004.05.011.</w:t>
      </w:r>
    </w:p>
    <w:p w14:paraId="66B90A5C" w14:textId="77777777" w:rsidR="00D521B7" w:rsidRPr="003F3B0B" w:rsidRDefault="00D521B7" w:rsidP="00D521B7">
      <w:pPr>
        <w:widowControl w:val="0"/>
        <w:autoSpaceDE w:val="0"/>
        <w:autoSpaceDN w:val="0"/>
        <w:adjustRightInd w:val="0"/>
        <w:ind w:left="640" w:hanging="640"/>
        <w:rPr>
          <w:rFonts w:cs="Times New Roman"/>
          <w:noProof/>
          <w:szCs w:val="24"/>
        </w:rPr>
      </w:pPr>
      <w:r w:rsidRPr="003F3B0B">
        <w:rPr>
          <w:rFonts w:cs="Times New Roman"/>
          <w:noProof/>
          <w:szCs w:val="24"/>
        </w:rPr>
        <w:t>[43]</w:t>
      </w:r>
      <w:r w:rsidRPr="003F3B0B">
        <w:rPr>
          <w:rFonts w:cs="Times New Roman"/>
          <w:noProof/>
          <w:szCs w:val="24"/>
        </w:rPr>
        <w:tab/>
        <w:t>Hertz H. Über die Berührung fester elastischer Körper. J Fur Die Reine Und Angew Math 1882;1882:156–71. doi:10.1515/crll.1882.92.156.</w:t>
      </w:r>
    </w:p>
    <w:p w14:paraId="63CF4FAD" w14:textId="77777777" w:rsidR="00D521B7" w:rsidRPr="003F3B0B" w:rsidRDefault="00D521B7" w:rsidP="00D521B7">
      <w:pPr>
        <w:widowControl w:val="0"/>
        <w:autoSpaceDE w:val="0"/>
        <w:autoSpaceDN w:val="0"/>
        <w:adjustRightInd w:val="0"/>
        <w:ind w:left="640" w:hanging="640"/>
        <w:rPr>
          <w:rFonts w:cs="Times New Roman"/>
          <w:noProof/>
          <w:szCs w:val="24"/>
        </w:rPr>
      </w:pPr>
      <w:r w:rsidRPr="003F3B0B">
        <w:rPr>
          <w:rFonts w:cs="Times New Roman"/>
          <w:noProof/>
          <w:szCs w:val="24"/>
        </w:rPr>
        <w:t>[44]</w:t>
      </w:r>
      <w:r w:rsidRPr="003F3B0B">
        <w:rPr>
          <w:rFonts w:cs="Times New Roman"/>
          <w:noProof/>
          <w:szCs w:val="24"/>
        </w:rPr>
        <w:tab/>
        <w:t xml:space="preserve">Warmuth AR, Pearson SR, Shipway PH, Sun W. The effect of contact geometry on </w:t>
      </w:r>
      <w:r w:rsidRPr="003F3B0B">
        <w:rPr>
          <w:rFonts w:cs="Times New Roman"/>
          <w:noProof/>
          <w:szCs w:val="24"/>
        </w:rPr>
        <w:lastRenderedPageBreak/>
        <w:t>fretting wear rates and mechanisms for a high strengthsteel. Wear 2013;301:491–500. doi:10.1016/j.wear.2013.01.018.</w:t>
      </w:r>
    </w:p>
    <w:p w14:paraId="23307B0A" w14:textId="77777777" w:rsidR="00D521B7" w:rsidRPr="003F3B0B" w:rsidRDefault="00D521B7" w:rsidP="00D521B7">
      <w:pPr>
        <w:widowControl w:val="0"/>
        <w:autoSpaceDE w:val="0"/>
        <w:autoSpaceDN w:val="0"/>
        <w:adjustRightInd w:val="0"/>
        <w:ind w:left="640" w:hanging="640"/>
        <w:rPr>
          <w:rFonts w:cs="Times New Roman"/>
          <w:noProof/>
          <w:szCs w:val="24"/>
        </w:rPr>
      </w:pPr>
      <w:r w:rsidRPr="003F3B0B">
        <w:rPr>
          <w:rFonts w:cs="Times New Roman"/>
          <w:noProof/>
          <w:szCs w:val="24"/>
        </w:rPr>
        <w:t>[45]</w:t>
      </w:r>
      <w:r w:rsidRPr="003F3B0B">
        <w:rPr>
          <w:rFonts w:cs="Times New Roman"/>
          <w:noProof/>
          <w:szCs w:val="24"/>
        </w:rPr>
        <w:tab/>
        <w:t>Houghton D, Wavish PM, Williams EJ, Leen SB. Multiaxial fretting fatigue testing and prediction for splined couplings. Int J Fatigue 2009;31:1805–15. doi:10.1016/j.ijfatigue.2008.12.005.</w:t>
      </w:r>
    </w:p>
    <w:p w14:paraId="15ECE449" w14:textId="77777777" w:rsidR="00D521B7" w:rsidRPr="003F3B0B" w:rsidRDefault="00D521B7" w:rsidP="00D521B7">
      <w:pPr>
        <w:widowControl w:val="0"/>
        <w:autoSpaceDE w:val="0"/>
        <w:autoSpaceDN w:val="0"/>
        <w:adjustRightInd w:val="0"/>
        <w:ind w:left="640" w:hanging="640"/>
        <w:rPr>
          <w:rFonts w:cs="Times New Roman"/>
          <w:noProof/>
          <w:szCs w:val="24"/>
        </w:rPr>
      </w:pPr>
      <w:r w:rsidRPr="003F3B0B">
        <w:rPr>
          <w:rFonts w:cs="Times New Roman"/>
          <w:noProof/>
          <w:szCs w:val="24"/>
        </w:rPr>
        <w:t>[46]</w:t>
      </w:r>
      <w:r w:rsidRPr="003F3B0B">
        <w:rPr>
          <w:rFonts w:cs="Times New Roman"/>
          <w:noProof/>
          <w:szCs w:val="24"/>
        </w:rPr>
        <w:tab/>
        <w:t>Dubourg M, Lamacq V. Stage II crack propagation direction determination under fretting fatigue loading: a new approach in accordance with experimental observations. Frett. Fatigue Curr. Technol. Pract., West Conshohocken, PA: ASTM International; 2000, p. 436-436–15. doi:10.1520/STP14746S.</w:t>
      </w:r>
    </w:p>
    <w:p w14:paraId="3BFE7A18" w14:textId="77777777" w:rsidR="00D521B7" w:rsidRPr="003F3B0B" w:rsidRDefault="00D521B7" w:rsidP="00D521B7">
      <w:pPr>
        <w:widowControl w:val="0"/>
        <w:autoSpaceDE w:val="0"/>
        <w:autoSpaceDN w:val="0"/>
        <w:adjustRightInd w:val="0"/>
        <w:ind w:left="640" w:hanging="640"/>
        <w:rPr>
          <w:rFonts w:cs="Times New Roman"/>
          <w:noProof/>
          <w:szCs w:val="24"/>
        </w:rPr>
      </w:pPr>
      <w:r w:rsidRPr="003F3B0B">
        <w:rPr>
          <w:rFonts w:cs="Times New Roman"/>
          <w:noProof/>
          <w:szCs w:val="24"/>
        </w:rPr>
        <w:t>[47]</w:t>
      </w:r>
      <w:r w:rsidRPr="003F3B0B">
        <w:rPr>
          <w:rFonts w:cs="Times New Roman"/>
          <w:noProof/>
          <w:szCs w:val="24"/>
        </w:rPr>
        <w:tab/>
        <w:t>Khotsyanovskii AO. Life prediction of titanium and aluminum alloys under fretting fatigue conditions using various crack propagation criteria. Part 1. Experimental and calculation techniques. Strength Mater 2010;42:683–704. doi:10.1007/s11223-010-9256-7.</w:t>
      </w:r>
    </w:p>
    <w:p w14:paraId="2C9EBFB0" w14:textId="77777777" w:rsidR="00D521B7" w:rsidRPr="003F3B0B" w:rsidRDefault="00D521B7" w:rsidP="00D521B7">
      <w:pPr>
        <w:widowControl w:val="0"/>
        <w:autoSpaceDE w:val="0"/>
        <w:autoSpaceDN w:val="0"/>
        <w:adjustRightInd w:val="0"/>
        <w:ind w:left="640" w:hanging="640"/>
        <w:rPr>
          <w:rFonts w:cs="Times New Roman"/>
          <w:noProof/>
          <w:szCs w:val="24"/>
        </w:rPr>
      </w:pPr>
      <w:r w:rsidRPr="003F3B0B">
        <w:rPr>
          <w:rFonts w:cs="Times New Roman"/>
          <w:noProof/>
          <w:szCs w:val="24"/>
        </w:rPr>
        <w:t>[48]</w:t>
      </w:r>
      <w:r w:rsidRPr="003F3B0B">
        <w:rPr>
          <w:rFonts w:cs="Times New Roman"/>
          <w:noProof/>
          <w:szCs w:val="24"/>
        </w:rPr>
        <w:tab/>
        <w:t>McCarthy OJ, McGarry JP, Leen SB. Microstructure-sensitive prediction and experimental validation of fretting fatigue. Wear 2013;305:100–14. doi:10.1016/j.wear.2013.05.012.</w:t>
      </w:r>
    </w:p>
    <w:p w14:paraId="612C9C07" w14:textId="77777777" w:rsidR="00D521B7" w:rsidRPr="003F3B0B" w:rsidRDefault="00D521B7" w:rsidP="00D521B7">
      <w:pPr>
        <w:widowControl w:val="0"/>
        <w:autoSpaceDE w:val="0"/>
        <w:autoSpaceDN w:val="0"/>
        <w:adjustRightInd w:val="0"/>
        <w:ind w:left="640" w:hanging="640"/>
        <w:rPr>
          <w:rFonts w:cs="Times New Roman"/>
          <w:noProof/>
          <w:szCs w:val="24"/>
        </w:rPr>
      </w:pPr>
      <w:r w:rsidRPr="003F3B0B">
        <w:rPr>
          <w:rFonts w:cs="Times New Roman"/>
          <w:noProof/>
          <w:szCs w:val="24"/>
        </w:rPr>
        <w:t>[49]</w:t>
      </w:r>
      <w:r w:rsidRPr="003F3B0B">
        <w:rPr>
          <w:rFonts w:cs="Times New Roman"/>
          <w:noProof/>
          <w:szCs w:val="24"/>
        </w:rPr>
        <w:tab/>
        <w:t>Nicholas T, Hutson A, John R, Olson S. A fracture mechanics methodology assessment for fretting fatigue. Int J Fatigue 2003;25:1069–77. doi:10.1016/S0142-1123(03)00115-4.</w:t>
      </w:r>
    </w:p>
    <w:p w14:paraId="076A9143" w14:textId="77777777" w:rsidR="00D521B7" w:rsidRPr="003F3B0B" w:rsidRDefault="00D521B7" w:rsidP="00D521B7">
      <w:pPr>
        <w:widowControl w:val="0"/>
        <w:autoSpaceDE w:val="0"/>
        <w:autoSpaceDN w:val="0"/>
        <w:adjustRightInd w:val="0"/>
        <w:ind w:left="640" w:hanging="640"/>
        <w:rPr>
          <w:rFonts w:cs="Times New Roman"/>
          <w:noProof/>
          <w:szCs w:val="24"/>
        </w:rPr>
      </w:pPr>
      <w:r w:rsidRPr="003F3B0B">
        <w:rPr>
          <w:rFonts w:cs="Times New Roman"/>
          <w:noProof/>
          <w:szCs w:val="24"/>
        </w:rPr>
        <w:t>[50]</w:t>
      </w:r>
      <w:r w:rsidRPr="003F3B0B">
        <w:rPr>
          <w:rFonts w:cs="Times New Roman"/>
          <w:noProof/>
          <w:szCs w:val="24"/>
        </w:rPr>
        <w:tab/>
        <w:t>Fett T, Munz D. Stress intensity factors and weight functions. Computational Mechanics Publications, Southhampton; 1997.</w:t>
      </w:r>
    </w:p>
    <w:p w14:paraId="1E536D37" w14:textId="77777777" w:rsidR="00D521B7" w:rsidRPr="003F3B0B" w:rsidRDefault="00D521B7" w:rsidP="00D521B7">
      <w:pPr>
        <w:widowControl w:val="0"/>
        <w:autoSpaceDE w:val="0"/>
        <w:autoSpaceDN w:val="0"/>
        <w:adjustRightInd w:val="0"/>
        <w:ind w:left="640" w:hanging="640"/>
        <w:rPr>
          <w:rFonts w:cs="Times New Roman"/>
          <w:noProof/>
          <w:szCs w:val="24"/>
        </w:rPr>
      </w:pPr>
      <w:r w:rsidRPr="003F3B0B">
        <w:rPr>
          <w:rFonts w:cs="Times New Roman"/>
          <w:noProof/>
          <w:szCs w:val="24"/>
        </w:rPr>
        <w:t>[51]</w:t>
      </w:r>
      <w:r w:rsidRPr="003F3B0B">
        <w:rPr>
          <w:rFonts w:cs="Times New Roman"/>
          <w:noProof/>
          <w:szCs w:val="24"/>
        </w:rPr>
        <w:tab/>
        <w:t xml:space="preserve">Li S, Kang Y, Kuang S. Effects of microstructure on fatigue crack growth behavior in cold-rolled dual phase steels. Mater Sci Eng A 2014;612:153–61. </w:t>
      </w:r>
      <w:r w:rsidRPr="003F3B0B">
        <w:rPr>
          <w:rFonts w:cs="Times New Roman"/>
          <w:noProof/>
          <w:szCs w:val="24"/>
        </w:rPr>
        <w:lastRenderedPageBreak/>
        <w:t>doi:10.1016/j.msea.2014.06.002.</w:t>
      </w:r>
    </w:p>
    <w:p w14:paraId="0191A177" w14:textId="77777777" w:rsidR="00D521B7" w:rsidRPr="003F3B0B" w:rsidRDefault="00D521B7" w:rsidP="00D521B7">
      <w:pPr>
        <w:widowControl w:val="0"/>
        <w:autoSpaceDE w:val="0"/>
        <w:autoSpaceDN w:val="0"/>
        <w:adjustRightInd w:val="0"/>
        <w:ind w:left="640" w:hanging="640"/>
        <w:rPr>
          <w:rFonts w:cs="Times New Roman"/>
          <w:noProof/>
          <w:szCs w:val="24"/>
        </w:rPr>
      </w:pPr>
      <w:r w:rsidRPr="003F3B0B">
        <w:rPr>
          <w:rFonts w:cs="Times New Roman"/>
          <w:noProof/>
          <w:szCs w:val="24"/>
        </w:rPr>
        <w:t>[52]</w:t>
      </w:r>
      <w:r w:rsidRPr="003F3B0B">
        <w:rPr>
          <w:rFonts w:cs="Times New Roman"/>
          <w:noProof/>
          <w:szCs w:val="24"/>
        </w:rPr>
        <w:tab/>
        <w:t>El Haddad MH, Topper TH, Smith KN. Prediction of non propagating cracks. Eng Fract Mech 1979;11:573–84. doi:10.1016/0013-7944(79)90081-X.</w:t>
      </w:r>
    </w:p>
    <w:p w14:paraId="4AEBF479" w14:textId="77777777" w:rsidR="00D521B7" w:rsidRPr="003F3B0B" w:rsidRDefault="00D521B7" w:rsidP="00D521B7">
      <w:pPr>
        <w:widowControl w:val="0"/>
        <w:autoSpaceDE w:val="0"/>
        <w:autoSpaceDN w:val="0"/>
        <w:adjustRightInd w:val="0"/>
        <w:ind w:left="640" w:hanging="640"/>
        <w:rPr>
          <w:rFonts w:cs="Times New Roman"/>
          <w:noProof/>
        </w:rPr>
      </w:pPr>
      <w:r w:rsidRPr="003F3B0B">
        <w:rPr>
          <w:rFonts w:cs="Times New Roman"/>
          <w:noProof/>
          <w:szCs w:val="24"/>
        </w:rPr>
        <w:t>[53]</w:t>
      </w:r>
      <w:r w:rsidRPr="003F3B0B">
        <w:rPr>
          <w:rFonts w:cs="Times New Roman"/>
          <w:noProof/>
          <w:szCs w:val="24"/>
        </w:rPr>
        <w:tab/>
        <w:t>API. Recomended practices for flexible marine risers, 17J. 2009.</w:t>
      </w:r>
    </w:p>
    <w:p w14:paraId="5D25D4E3" w14:textId="7BAFA0F4" w:rsidR="00E70C83" w:rsidRPr="003F3B0B" w:rsidRDefault="00B44C2E" w:rsidP="00D521B7">
      <w:pPr>
        <w:widowControl w:val="0"/>
        <w:autoSpaceDE w:val="0"/>
        <w:autoSpaceDN w:val="0"/>
        <w:adjustRightInd w:val="0"/>
        <w:ind w:left="640" w:hanging="640"/>
      </w:pPr>
      <w:r w:rsidRPr="003F3B0B">
        <w:fldChar w:fldCharType="end"/>
      </w:r>
    </w:p>
    <w:p w14:paraId="0F64EF7F" w14:textId="77777777" w:rsidR="00AE3B0E" w:rsidRPr="003F3B0B" w:rsidRDefault="00AE3B0E" w:rsidP="00AE3B0E"/>
    <w:p w14:paraId="2E449C40" w14:textId="77777777" w:rsidR="007C2028" w:rsidRPr="003F3B0B" w:rsidRDefault="007C2028" w:rsidP="007C2028">
      <w:pPr>
        <w:spacing w:after="0"/>
        <w:jc w:val="center"/>
      </w:pPr>
    </w:p>
    <w:p w14:paraId="192B172C" w14:textId="77777777" w:rsidR="004D2844" w:rsidRPr="003F3B0B" w:rsidRDefault="004D2844">
      <w:pPr>
        <w:spacing w:line="259" w:lineRule="auto"/>
        <w:jc w:val="left"/>
        <w:rPr>
          <w:rFonts w:cs="Times New Roman"/>
          <w:b/>
          <w:sz w:val="28"/>
          <w:szCs w:val="28"/>
        </w:rPr>
      </w:pPr>
      <w:r w:rsidRPr="003F3B0B">
        <w:rPr>
          <w:rFonts w:cs="Times New Roman"/>
          <w:b/>
          <w:sz w:val="28"/>
          <w:szCs w:val="28"/>
        </w:rPr>
        <w:br w:type="page"/>
      </w:r>
    </w:p>
    <w:p w14:paraId="2524B73F" w14:textId="77777777" w:rsidR="004D2844" w:rsidRPr="003F3B0B" w:rsidRDefault="004D2844" w:rsidP="004D2844">
      <w:pPr>
        <w:pStyle w:val="BodyTextIndent"/>
        <w:ind w:left="0"/>
        <w:jc w:val="center"/>
        <w:rPr>
          <w:b/>
          <w:lang w:val="en-GB"/>
        </w:rPr>
      </w:pPr>
      <w:r w:rsidRPr="003F3B0B">
        <w:rPr>
          <w:b/>
          <w:lang w:val="en-GB"/>
        </w:rPr>
        <w:lastRenderedPageBreak/>
        <w:t>Figures</w:t>
      </w:r>
    </w:p>
    <w:p w14:paraId="0C96B193" w14:textId="77777777" w:rsidR="004D2844" w:rsidRPr="003F3B0B" w:rsidRDefault="004D2844" w:rsidP="004D2844">
      <w:pPr>
        <w:pStyle w:val="BodyTextIndent"/>
        <w:ind w:left="0"/>
        <w:jc w:val="center"/>
        <w:rPr>
          <w:b/>
          <w:lang w:val="en-GB"/>
        </w:rPr>
      </w:pPr>
    </w:p>
    <w:p w14:paraId="0C270509" w14:textId="77777777" w:rsidR="004D2844" w:rsidRPr="003F3B0B" w:rsidRDefault="004D2844" w:rsidP="004D2844">
      <w:pPr>
        <w:pStyle w:val="BodyTextIndent"/>
        <w:ind w:left="0"/>
        <w:jc w:val="center"/>
        <w:rPr>
          <w:lang w:val="en-GB"/>
        </w:rPr>
      </w:pPr>
    </w:p>
    <w:p w14:paraId="4FF8D953" w14:textId="77777777" w:rsidR="004D2844" w:rsidRPr="003F3B0B" w:rsidRDefault="00352AF8" w:rsidP="00352AF8">
      <w:pPr>
        <w:pStyle w:val="Caption"/>
        <w:rPr>
          <w:rFonts w:ascii="Cambria Math" w:hAnsi="Cambria Math"/>
          <w:lang w:val="en-GB"/>
        </w:rPr>
      </w:pPr>
      <w:bookmarkStart w:id="1" w:name="_Ref11328097"/>
      <w:r w:rsidRPr="003F3B0B">
        <w:t xml:space="preserve">Figure </w:t>
      </w:r>
      <w:r w:rsidR="00FE1E2D" w:rsidRPr="003F3B0B">
        <w:rPr>
          <w:noProof/>
        </w:rPr>
        <w:fldChar w:fldCharType="begin"/>
      </w:r>
      <w:r w:rsidR="00FE1E2D" w:rsidRPr="003F3B0B">
        <w:rPr>
          <w:noProof/>
        </w:rPr>
        <w:instrText xml:space="preserve"> SEQ Figure \* ARABIC </w:instrText>
      </w:r>
      <w:r w:rsidR="00FE1E2D" w:rsidRPr="003F3B0B">
        <w:rPr>
          <w:noProof/>
        </w:rPr>
        <w:fldChar w:fldCharType="separate"/>
      </w:r>
      <w:r w:rsidR="003D1AA2" w:rsidRPr="003F3B0B">
        <w:rPr>
          <w:noProof/>
        </w:rPr>
        <w:t>1</w:t>
      </w:r>
      <w:r w:rsidR="00FE1E2D" w:rsidRPr="003F3B0B">
        <w:rPr>
          <w:noProof/>
        </w:rPr>
        <w:fldChar w:fldCharType="end"/>
      </w:r>
      <w:bookmarkEnd w:id="1"/>
      <w:r w:rsidRPr="003F3B0B">
        <w:t>.</w:t>
      </w:r>
      <w:r w:rsidR="004D2844" w:rsidRPr="003F3B0B">
        <w:rPr>
          <w:rFonts w:ascii="Cambria Math" w:hAnsi="Cambria Math"/>
          <w:lang w:val="en-GB"/>
        </w:rPr>
        <w:t xml:space="preserve"> </w:t>
      </w:r>
      <w:r w:rsidR="004D2844" w:rsidRPr="003F3B0B">
        <w:rPr>
          <w:rFonts w:cs="Times New Roman"/>
          <w:lang w:val="en-GB"/>
        </w:rPr>
        <w:t xml:space="preserve">Design framework for service life prediction of the nub-groove contact in the pressure armour layer of a flexible riser jumper. </w:t>
      </w:r>
    </w:p>
    <w:p w14:paraId="18B621B1" w14:textId="77777777" w:rsidR="006058DF" w:rsidRPr="003F3B0B" w:rsidRDefault="006058DF" w:rsidP="006058DF">
      <w:pPr>
        <w:pStyle w:val="Quote"/>
        <w:rPr>
          <w:color w:val="auto"/>
        </w:rPr>
      </w:pPr>
    </w:p>
    <w:p w14:paraId="1E37434B" w14:textId="77777777" w:rsidR="006058DF" w:rsidRPr="003F3B0B" w:rsidRDefault="006B12E6" w:rsidP="006B12E6">
      <w:pPr>
        <w:pStyle w:val="Caption"/>
      </w:pPr>
      <w:bookmarkStart w:id="2" w:name="_Ref11236066"/>
      <w:r w:rsidRPr="003F3B0B">
        <w:t xml:space="preserve">Figure </w:t>
      </w:r>
      <w:r w:rsidR="00FE1E2D" w:rsidRPr="003F3B0B">
        <w:rPr>
          <w:noProof/>
        </w:rPr>
        <w:fldChar w:fldCharType="begin"/>
      </w:r>
      <w:r w:rsidR="00FE1E2D" w:rsidRPr="003F3B0B">
        <w:rPr>
          <w:noProof/>
        </w:rPr>
        <w:instrText xml:space="preserve"> SEQ Figure \* ARABIC </w:instrText>
      </w:r>
      <w:r w:rsidR="00FE1E2D" w:rsidRPr="003F3B0B">
        <w:rPr>
          <w:noProof/>
        </w:rPr>
        <w:fldChar w:fldCharType="separate"/>
      </w:r>
      <w:r w:rsidR="003D1AA2" w:rsidRPr="003F3B0B">
        <w:rPr>
          <w:noProof/>
        </w:rPr>
        <w:t>2</w:t>
      </w:r>
      <w:r w:rsidR="00FE1E2D" w:rsidRPr="003F3B0B">
        <w:rPr>
          <w:noProof/>
        </w:rPr>
        <w:fldChar w:fldCharType="end"/>
      </w:r>
      <w:bookmarkEnd w:id="2"/>
      <w:r w:rsidRPr="003F3B0B">
        <w:t>.</w:t>
      </w:r>
      <w:r w:rsidR="006058DF" w:rsidRPr="003F3B0B">
        <w:t xml:space="preserve"> Framework for fretting life prediction in flexible marine risers.</w:t>
      </w:r>
    </w:p>
    <w:p w14:paraId="491D4C5E" w14:textId="77777777" w:rsidR="006058DF" w:rsidRPr="003F3B0B" w:rsidRDefault="006058DF" w:rsidP="006058DF">
      <w:pPr>
        <w:pStyle w:val="Quote"/>
        <w:rPr>
          <w:color w:val="auto"/>
        </w:rPr>
      </w:pPr>
    </w:p>
    <w:p w14:paraId="39BE96C9" w14:textId="6766A68B" w:rsidR="006058DF" w:rsidRPr="003F3B0B" w:rsidRDefault="00B956C5" w:rsidP="00606BE8">
      <w:pPr>
        <w:pStyle w:val="Caption"/>
      </w:pPr>
      <w:bookmarkStart w:id="3" w:name="_Ref11241889"/>
      <w:bookmarkStart w:id="4" w:name="_Ref457921308"/>
      <w:r w:rsidRPr="003F3B0B">
        <w:t xml:space="preserve">Figure </w:t>
      </w:r>
      <w:r w:rsidR="00FE1E2D" w:rsidRPr="003F3B0B">
        <w:rPr>
          <w:iCs w:val="0"/>
          <w:noProof/>
        </w:rPr>
        <w:fldChar w:fldCharType="begin"/>
      </w:r>
      <w:r w:rsidR="00FE1E2D" w:rsidRPr="003F3B0B">
        <w:rPr>
          <w:noProof/>
        </w:rPr>
        <w:instrText xml:space="preserve"> SEQ Figure \* ARABIC </w:instrText>
      </w:r>
      <w:r w:rsidR="00FE1E2D" w:rsidRPr="003F3B0B">
        <w:rPr>
          <w:iCs w:val="0"/>
          <w:noProof/>
        </w:rPr>
        <w:fldChar w:fldCharType="separate"/>
      </w:r>
      <w:r w:rsidR="003D1AA2" w:rsidRPr="003F3B0B">
        <w:rPr>
          <w:noProof/>
        </w:rPr>
        <w:t>3</w:t>
      </w:r>
      <w:r w:rsidR="00FE1E2D" w:rsidRPr="003F3B0B">
        <w:rPr>
          <w:iCs w:val="0"/>
          <w:noProof/>
        </w:rPr>
        <w:fldChar w:fldCharType="end"/>
      </w:r>
      <w:bookmarkEnd w:id="3"/>
      <w:r w:rsidRPr="003F3B0B">
        <w:t>.</w:t>
      </w:r>
      <w:bookmarkEnd w:id="4"/>
      <w:r w:rsidR="006058DF" w:rsidRPr="003F3B0B">
        <w:t xml:space="preserve"> Schematic of SLHR and single riser jumper configuration.</w:t>
      </w:r>
      <w:r w:rsidR="00B566FA" w:rsidRPr="003F3B0B">
        <w:t xml:space="preserve"> and</w:t>
      </w:r>
      <w:r w:rsidR="006058DF" w:rsidRPr="003F3B0B">
        <w:t xml:space="preserve"> </w:t>
      </w:r>
      <w:r w:rsidR="00B566FA" w:rsidRPr="003F3B0B">
        <w:t>d</w:t>
      </w:r>
      <w:r w:rsidR="006058DF" w:rsidRPr="003F3B0B">
        <w:t>efinition of vessel degrees of freedom for RAOs.</w:t>
      </w:r>
    </w:p>
    <w:p w14:paraId="5FAB749C" w14:textId="77777777" w:rsidR="006058DF" w:rsidRPr="003F3B0B" w:rsidRDefault="006058DF" w:rsidP="006058DF">
      <w:pPr>
        <w:pStyle w:val="Quote"/>
        <w:rPr>
          <w:color w:val="auto"/>
        </w:rPr>
      </w:pPr>
    </w:p>
    <w:p w14:paraId="1818E2E4" w14:textId="77777777" w:rsidR="006058DF" w:rsidRPr="003F3B0B" w:rsidRDefault="006058DF" w:rsidP="006058DF">
      <w:pPr>
        <w:pStyle w:val="Quote"/>
        <w:rPr>
          <w:color w:val="auto"/>
        </w:rPr>
      </w:pPr>
    </w:p>
    <w:p w14:paraId="0DC507D1" w14:textId="07D04CA0" w:rsidR="006058DF" w:rsidRPr="003F3B0B" w:rsidRDefault="00606BE8" w:rsidP="00606BE8">
      <w:pPr>
        <w:pStyle w:val="Caption"/>
      </w:pPr>
      <w:bookmarkStart w:id="5" w:name="_Ref11244166"/>
      <w:bookmarkStart w:id="6" w:name="_Ref464912099"/>
      <w:bookmarkStart w:id="7" w:name="_Ref464911062"/>
      <w:r w:rsidRPr="003F3B0B">
        <w:t xml:space="preserve">Figure </w:t>
      </w:r>
      <w:r w:rsidR="00FE1E2D" w:rsidRPr="003F3B0B">
        <w:rPr>
          <w:noProof/>
        </w:rPr>
        <w:fldChar w:fldCharType="begin"/>
      </w:r>
      <w:r w:rsidR="00FE1E2D" w:rsidRPr="003F3B0B">
        <w:rPr>
          <w:noProof/>
        </w:rPr>
        <w:instrText xml:space="preserve"> SEQ Figure \* ARABIC </w:instrText>
      </w:r>
      <w:r w:rsidR="00FE1E2D" w:rsidRPr="003F3B0B">
        <w:rPr>
          <w:noProof/>
        </w:rPr>
        <w:fldChar w:fldCharType="separate"/>
      </w:r>
      <w:r w:rsidR="003D1AA2" w:rsidRPr="003F3B0B">
        <w:rPr>
          <w:noProof/>
        </w:rPr>
        <w:t>4</w:t>
      </w:r>
      <w:r w:rsidR="00FE1E2D" w:rsidRPr="003F3B0B">
        <w:rPr>
          <w:noProof/>
        </w:rPr>
        <w:fldChar w:fldCharType="end"/>
      </w:r>
      <w:bookmarkEnd w:id="5"/>
      <w:r w:rsidRPr="003F3B0B">
        <w:t>.</w:t>
      </w:r>
      <w:bookmarkEnd w:id="6"/>
      <w:bookmarkEnd w:id="7"/>
      <w:r w:rsidR="006058DF" w:rsidRPr="003F3B0B">
        <w:t xml:space="preserve"> Schematic of </w:t>
      </w:r>
      <w:r w:rsidR="006058DF" w:rsidRPr="003F3B0B">
        <w:rPr>
          <w:noProof/>
        </w:rPr>
        <w:t>effect</w:t>
      </w:r>
      <w:r w:rsidR="006058DF" w:rsidRPr="003F3B0B">
        <w:t xml:space="preserve"> of bending on riser section and the geometrical model used to relate riser curvature to </w:t>
      </w:r>
      <w:r w:rsidR="006058DF" w:rsidRPr="003F3B0B">
        <w:rPr>
          <w:noProof/>
        </w:rPr>
        <w:t>local</w:t>
      </w:r>
      <w:r w:rsidR="006058DF" w:rsidRPr="003F3B0B">
        <w:t xml:space="preserve"> applied displacement.</w:t>
      </w:r>
    </w:p>
    <w:p w14:paraId="5AC99F3C" w14:textId="77777777" w:rsidR="007A332C" w:rsidRPr="003F3B0B" w:rsidRDefault="007A332C" w:rsidP="007A332C"/>
    <w:p w14:paraId="3C21C7A7" w14:textId="5C55E58C" w:rsidR="00A07759" w:rsidRPr="003F3B0B" w:rsidRDefault="00606BE8" w:rsidP="00606BE8">
      <w:pPr>
        <w:pStyle w:val="Caption"/>
        <w:rPr>
          <w:noProof/>
        </w:rPr>
      </w:pPr>
      <w:bookmarkStart w:id="8" w:name="_Ref11247842"/>
      <w:bookmarkStart w:id="9" w:name="_Ref464301993"/>
      <w:r w:rsidRPr="003F3B0B">
        <w:t xml:space="preserve">Figure </w:t>
      </w:r>
      <w:r w:rsidR="00FE1E2D" w:rsidRPr="003F3B0B">
        <w:rPr>
          <w:noProof/>
        </w:rPr>
        <w:fldChar w:fldCharType="begin"/>
      </w:r>
      <w:r w:rsidR="00FE1E2D" w:rsidRPr="003F3B0B">
        <w:rPr>
          <w:noProof/>
        </w:rPr>
        <w:instrText xml:space="preserve"> SEQ Figure \* ARABIC </w:instrText>
      </w:r>
      <w:r w:rsidR="00FE1E2D" w:rsidRPr="003F3B0B">
        <w:rPr>
          <w:noProof/>
        </w:rPr>
        <w:fldChar w:fldCharType="separate"/>
      </w:r>
      <w:r w:rsidR="003D1AA2" w:rsidRPr="003F3B0B">
        <w:rPr>
          <w:noProof/>
        </w:rPr>
        <w:t>5</w:t>
      </w:r>
      <w:r w:rsidR="00FE1E2D" w:rsidRPr="003F3B0B">
        <w:rPr>
          <w:noProof/>
        </w:rPr>
        <w:fldChar w:fldCharType="end"/>
      </w:r>
      <w:bookmarkEnd w:id="8"/>
      <w:r w:rsidRPr="003F3B0B">
        <w:t>.</w:t>
      </w:r>
      <w:bookmarkEnd w:id="9"/>
      <w:r w:rsidR="00A07759" w:rsidRPr="003F3B0B">
        <w:t xml:space="preserve"> Design of fretting rig, without dead weight</w:t>
      </w:r>
      <w:r w:rsidR="00097B93" w:rsidRPr="003F3B0B">
        <w:t xml:space="preserve"> normal loading</w:t>
      </w:r>
      <w:r w:rsidR="00BD7F95" w:rsidRPr="003F3B0B">
        <w:rPr>
          <w:noProof/>
        </w:rPr>
        <w:t xml:space="preserve"> showing</w:t>
      </w:r>
      <w:r w:rsidR="00A07759" w:rsidRPr="003F3B0B">
        <w:rPr>
          <w:noProof/>
        </w:rPr>
        <w:t xml:space="preserve"> the crossed cylinder </w:t>
      </w:r>
      <w:r w:rsidR="00BD7F95" w:rsidRPr="003F3B0B">
        <w:rPr>
          <w:noProof/>
        </w:rPr>
        <w:t xml:space="preserve">test speciment </w:t>
      </w:r>
      <w:r w:rsidR="00A07759" w:rsidRPr="003F3B0B">
        <w:rPr>
          <w:noProof/>
        </w:rPr>
        <w:t>configuration</w:t>
      </w:r>
      <w:r w:rsidR="00BD7F95" w:rsidRPr="003F3B0B">
        <w:rPr>
          <w:noProof/>
        </w:rPr>
        <w:t>.</w:t>
      </w:r>
    </w:p>
    <w:p w14:paraId="76F52489" w14:textId="77777777" w:rsidR="00A07759" w:rsidRPr="003F3B0B" w:rsidRDefault="00A07759" w:rsidP="00A07759">
      <w:pPr>
        <w:pStyle w:val="Quote"/>
        <w:rPr>
          <w:color w:val="auto"/>
        </w:rPr>
      </w:pPr>
    </w:p>
    <w:p w14:paraId="358797ED" w14:textId="67E199A6" w:rsidR="00A07759" w:rsidRPr="003F3B0B" w:rsidRDefault="00606BE8" w:rsidP="00606BE8">
      <w:pPr>
        <w:pStyle w:val="Caption"/>
      </w:pPr>
      <w:bookmarkStart w:id="10" w:name="_Ref11248062"/>
      <w:bookmarkStart w:id="11" w:name="_Ref472003938"/>
      <w:r w:rsidRPr="003F3B0B">
        <w:t xml:space="preserve">Figure </w:t>
      </w:r>
      <w:r w:rsidR="00FE1E2D" w:rsidRPr="003F3B0B">
        <w:rPr>
          <w:noProof/>
        </w:rPr>
        <w:fldChar w:fldCharType="begin"/>
      </w:r>
      <w:r w:rsidR="00FE1E2D" w:rsidRPr="003F3B0B">
        <w:rPr>
          <w:noProof/>
        </w:rPr>
        <w:instrText xml:space="preserve"> SEQ Figure \* ARABIC </w:instrText>
      </w:r>
      <w:r w:rsidR="00FE1E2D" w:rsidRPr="003F3B0B">
        <w:rPr>
          <w:noProof/>
        </w:rPr>
        <w:fldChar w:fldCharType="separate"/>
      </w:r>
      <w:r w:rsidR="003D1AA2" w:rsidRPr="003F3B0B">
        <w:rPr>
          <w:noProof/>
        </w:rPr>
        <w:t>6</w:t>
      </w:r>
      <w:r w:rsidR="00FE1E2D" w:rsidRPr="003F3B0B">
        <w:rPr>
          <w:noProof/>
        </w:rPr>
        <w:fldChar w:fldCharType="end"/>
      </w:r>
      <w:bookmarkEnd w:id="10"/>
      <w:r w:rsidRPr="003F3B0B">
        <w:t xml:space="preserve">. </w:t>
      </w:r>
      <w:bookmarkEnd w:id="11"/>
      <w:r w:rsidR="00A07759" w:rsidRPr="003F3B0B">
        <w:t xml:space="preserve">Schematic diagram of an ideal fretting loop in the (a) </w:t>
      </w:r>
      <w:r w:rsidR="00B566FA" w:rsidRPr="003F3B0B">
        <w:t>partial</w:t>
      </w:r>
      <w:r w:rsidR="00A07759" w:rsidRPr="003F3B0B">
        <w:t xml:space="preserve"> slip regime, and (b) </w:t>
      </w:r>
      <w:r w:rsidR="00B566FA" w:rsidRPr="003F3B0B">
        <w:t xml:space="preserve">gross </w:t>
      </w:r>
      <w:r w:rsidR="00A07759" w:rsidRPr="003F3B0B">
        <w:t>slip regime</w:t>
      </w:r>
      <w:r w:rsidR="00B566FA" w:rsidRPr="003F3B0B">
        <w:t>, (c) fretting loop with high tractional force peak at the ends of gross slip</w:t>
      </w:r>
      <w:r w:rsidR="00A07759" w:rsidRPr="003F3B0B">
        <w:t>.</w:t>
      </w:r>
    </w:p>
    <w:p w14:paraId="4A164E68" w14:textId="77777777" w:rsidR="00A07759" w:rsidRPr="003F3B0B" w:rsidRDefault="00A07759" w:rsidP="00A07759"/>
    <w:p w14:paraId="54CAB655" w14:textId="453E7247" w:rsidR="00A07759" w:rsidRPr="003F3B0B" w:rsidRDefault="00606BE8" w:rsidP="00606BE8">
      <w:pPr>
        <w:pStyle w:val="Caption"/>
      </w:pPr>
      <w:bookmarkStart w:id="12" w:name="_Ref11248161"/>
      <w:bookmarkStart w:id="13" w:name="_Ref472411123"/>
      <w:r w:rsidRPr="003F3B0B">
        <w:t xml:space="preserve">Figure </w:t>
      </w:r>
      <w:r w:rsidR="00FE1E2D" w:rsidRPr="003F3B0B">
        <w:rPr>
          <w:noProof/>
        </w:rPr>
        <w:fldChar w:fldCharType="begin"/>
      </w:r>
      <w:r w:rsidR="00FE1E2D" w:rsidRPr="003F3B0B">
        <w:rPr>
          <w:noProof/>
        </w:rPr>
        <w:instrText xml:space="preserve"> SEQ Figure \* ARABIC </w:instrText>
      </w:r>
      <w:r w:rsidR="00FE1E2D" w:rsidRPr="003F3B0B">
        <w:rPr>
          <w:noProof/>
        </w:rPr>
        <w:fldChar w:fldCharType="separate"/>
      </w:r>
      <w:r w:rsidR="003D1AA2" w:rsidRPr="003F3B0B">
        <w:rPr>
          <w:noProof/>
        </w:rPr>
        <w:t>7</w:t>
      </w:r>
      <w:r w:rsidR="00FE1E2D" w:rsidRPr="003F3B0B">
        <w:rPr>
          <w:noProof/>
        </w:rPr>
        <w:fldChar w:fldCharType="end"/>
      </w:r>
      <w:bookmarkEnd w:id="12"/>
      <w:r w:rsidRPr="003F3B0B">
        <w:t>.</w:t>
      </w:r>
      <w:bookmarkEnd w:id="13"/>
      <w:r w:rsidR="00A07759" w:rsidRPr="003F3B0B">
        <w:t xml:space="preserve"> </w:t>
      </w:r>
      <w:r w:rsidR="00A07759" w:rsidRPr="003F3B0B">
        <w:rPr>
          <w:noProof/>
        </w:rPr>
        <w:t>Measured</w:t>
      </w:r>
      <w:r w:rsidR="00A07759" w:rsidRPr="003F3B0B">
        <w:t xml:space="preserve"> </w:t>
      </w:r>
      <w:r w:rsidR="00A07759" w:rsidRPr="003F3B0B">
        <w:rPr>
          <w:noProof/>
        </w:rPr>
        <w:t>evolution</w:t>
      </w:r>
      <w:r w:rsidR="00A07759" w:rsidRPr="003F3B0B">
        <w:t xml:space="preserve"> of ECoF and tra</w:t>
      </w:r>
      <w:r w:rsidRPr="003F3B0B">
        <w:t>c</w:t>
      </w:r>
      <w:r w:rsidR="00A07759" w:rsidRPr="003F3B0B">
        <w:t xml:space="preserve">tion coefficients with </w:t>
      </w:r>
      <w:r w:rsidR="00A07759" w:rsidRPr="003F3B0B">
        <w:rPr>
          <w:noProof/>
        </w:rPr>
        <w:t>number</w:t>
      </w:r>
      <w:r w:rsidR="00A07759" w:rsidRPr="003F3B0B">
        <w:t xml:space="preserve"> of fretting cycles for specimen with </w:t>
      </w:r>
      <w:r w:rsidR="00A07759" w:rsidRPr="003F3B0B">
        <w:rPr>
          <w:noProof/>
        </w:rPr>
        <w:t>normal</w:t>
      </w:r>
      <w:r w:rsidR="00A07759" w:rsidRPr="003F3B0B">
        <w:t xml:space="preserve"> load of</w:t>
      </w:r>
      <w:r w:rsidR="00A07759" w:rsidRPr="003F3B0B">
        <w:rPr>
          <w:i/>
        </w:rPr>
        <w:t xml:space="preserve"> P</w:t>
      </w:r>
      <w:r w:rsidR="00A07759" w:rsidRPr="003F3B0B">
        <w:t xml:space="preserve"> for (a) gross-slip (contact pressure between 890 and 1270 MPa), and (b) mixed and partial slip conditions (contact pressure between 1350 and 1730 MPa).</w:t>
      </w:r>
    </w:p>
    <w:p w14:paraId="5E317F81" w14:textId="77777777" w:rsidR="00FC2C86" w:rsidRPr="003F3B0B" w:rsidRDefault="00FC2C86" w:rsidP="007C2028">
      <w:pPr>
        <w:jc w:val="center"/>
        <w:rPr>
          <w:rFonts w:cs="Times New Roman"/>
          <w:b/>
          <w:sz w:val="28"/>
          <w:szCs w:val="28"/>
        </w:rPr>
      </w:pPr>
    </w:p>
    <w:p w14:paraId="2BF55993" w14:textId="799ADD8A" w:rsidR="007A332C" w:rsidRPr="003F3B0B" w:rsidRDefault="007A332C" w:rsidP="007A332C">
      <w:pPr>
        <w:pStyle w:val="Caption"/>
      </w:pPr>
      <w:bookmarkStart w:id="14" w:name="_Ref11248699"/>
      <w:bookmarkStart w:id="15" w:name="_Ref461877411"/>
      <w:r w:rsidRPr="003F3B0B">
        <w:t xml:space="preserve">Figure </w:t>
      </w:r>
      <w:r w:rsidR="00FE1E2D" w:rsidRPr="003F3B0B">
        <w:rPr>
          <w:noProof/>
        </w:rPr>
        <w:fldChar w:fldCharType="begin"/>
      </w:r>
      <w:r w:rsidR="00FE1E2D" w:rsidRPr="003F3B0B">
        <w:rPr>
          <w:noProof/>
        </w:rPr>
        <w:instrText xml:space="preserve"> SEQ Figure \* ARABIC </w:instrText>
      </w:r>
      <w:r w:rsidR="00FE1E2D" w:rsidRPr="003F3B0B">
        <w:rPr>
          <w:noProof/>
        </w:rPr>
        <w:fldChar w:fldCharType="separate"/>
      </w:r>
      <w:r w:rsidR="003D1AA2" w:rsidRPr="003F3B0B">
        <w:rPr>
          <w:noProof/>
        </w:rPr>
        <w:t>8</w:t>
      </w:r>
      <w:r w:rsidR="00FE1E2D" w:rsidRPr="003F3B0B">
        <w:rPr>
          <w:noProof/>
        </w:rPr>
        <w:fldChar w:fldCharType="end"/>
      </w:r>
      <w:bookmarkEnd w:id="14"/>
      <w:r w:rsidRPr="003F3B0B">
        <w:t>.</w:t>
      </w:r>
      <w:bookmarkEnd w:id="15"/>
      <w:r w:rsidRPr="003F3B0B">
        <w:t xml:space="preserve"> Time histories of normalised results from dynamic riser analysis.</w:t>
      </w:r>
    </w:p>
    <w:p w14:paraId="2E637E05" w14:textId="77777777" w:rsidR="006058DF" w:rsidRPr="003F3B0B" w:rsidRDefault="006058DF" w:rsidP="006058DF">
      <w:pPr>
        <w:pStyle w:val="Quote"/>
        <w:rPr>
          <w:color w:val="auto"/>
        </w:rPr>
      </w:pPr>
    </w:p>
    <w:p w14:paraId="39E655EA" w14:textId="4531EF18" w:rsidR="006058DF" w:rsidRPr="003F3B0B" w:rsidRDefault="007E7D57" w:rsidP="007E7D57">
      <w:pPr>
        <w:pStyle w:val="Caption"/>
      </w:pPr>
      <w:bookmarkStart w:id="16" w:name="_Ref11248735"/>
      <w:bookmarkStart w:id="17" w:name="_Ref483990140"/>
      <w:r w:rsidRPr="003F3B0B">
        <w:t xml:space="preserve">Figure </w:t>
      </w:r>
      <w:r w:rsidR="00FE1E2D" w:rsidRPr="003F3B0B">
        <w:rPr>
          <w:noProof/>
        </w:rPr>
        <w:fldChar w:fldCharType="begin"/>
      </w:r>
      <w:r w:rsidR="00FE1E2D" w:rsidRPr="003F3B0B">
        <w:rPr>
          <w:noProof/>
        </w:rPr>
        <w:instrText xml:space="preserve"> SEQ Figure \* ARABIC </w:instrText>
      </w:r>
      <w:r w:rsidR="00FE1E2D" w:rsidRPr="003F3B0B">
        <w:rPr>
          <w:noProof/>
        </w:rPr>
        <w:fldChar w:fldCharType="separate"/>
      </w:r>
      <w:r w:rsidR="003D1AA2" w:rsidRPr="003F3B0B">
        <w:rPr>
          <w:noProof/>
        </w:rPr>
        <w:t>9</w:t>
      </w:r>
      <w:r w:rsidR="00FE1E2D" w:rsidRPr="003F3B0B">
        <w:rPr>
          <w:noProof/>
        </w:rPr>
        <w:fldChar w:fldCharType="end"/>
      </w:r>
      <w:bookmarkEnd w:id="16"/>
      <w:r w:rsidRPr="003F3B0B">
        <w:t>.</w:t>
      </w:r>
      <w:bookmarkEnd w:id="17"/>
      <w:r w:rsidR="006058DF" w:rsidRPr="003F3B0B">
        <w:t xml:space="preserve"> </w:t>
      </w:r>
      <w:r w:rsidR="006058DF" w:rsidRPr="003F3B0B">
        <w:rPr>
          <w:noProof/>
        </w:rPr>
        <w:t>Envelope of minimum</w:t>
      </w:r>
      <w:r w:rsidR="006058DF" w:rsidRPr="003F3B0B">
        <w:t xml:space="preserve"> and maximum </w:t>
      </w:r>
      <w:r w:rsidR="000F5E2F" w:rsidRPr="003F3B0B">
        <w:t xml:space="preserve">(a) </w:t>
      </w:r>
      <w:r w:rsidR="006058DF" w:rsidRPr="003F3B0B">
        <w:t xml:space="preserve">axial tensile force </w:t>
      </w:r>
      <w:r w:rsidR="000F5E2F" w:rsidRPr="003F3B0B">
        <w:t xml:space="preserve">and (b) riser curvature </w:t>
      </w:r>
      <w:r w:rsidR="006058DF" w:rsidRPr="003F3B0B">
        <w:t xml:space="preserve">along the </w:t>
      </w:r>
      <w:r w:rsidR="006058DF" w:rsidRPr="003F3B0B">
        <w:rPr>
          <w:noProof/>
        </w:rPr>
        <w:t>length</w:t>
      </w:r>
      <w:r w:rsidR="006058DF" w:rsidRPr="003F3B0B">
        <w:t xml:space="preserve"> of the 6 inch riser jumper.</w:t>
      </w:r>
    </w:p>
    <w:p w14:paraId="7D1F9F85" w14:textId="77777777" w:rsidR="006058DF" w:rsidRPr="003F3B0B" w:rsidRDefault="006058DF" w:rsidP="006058DF">
      <w:pPr>
        <w:pStyle w:val="Quote"/>
        <w:rPr>
          <w:color w:val="auto"/>
        </w:rPr>
      </w:pPr>
    </w:p>
    <w:p w14:paraId="0D000EEE" w14:textId="59CBF049" w:rsidR="006058DF" w:rsidRPr="003F3B0B" w:rsidRDefault="007E7D57" w:rsidP="007E7D57">
      <w:pPr>
        <w:pStyle w:val="Caption"/>
      </w:pPr>
      <w:bookmarkStart w:id="18" w:name="_Ref11248848"/>
      <w:bookmarkStart w:id="19" w:name="_Ref464912987"/>
      <w:r w:rsidRPr="003F3B0B">
        <w:lastRenderedPageBreak/>
        <w:t xml:space="preserve">Figure </w:t>
      </w:r>
      <w:r w:rsidR="00FE1E2D" w:rsidRPr="003F3B0B">
        <w:rPr>
          <w:noProof/>
        </w:rPr>
        <w:fldChar w:fldCharType="begin"/>
      </w:r>
      <w:r w:rsidR="00FE1E2D" w:rsidRPr="003F3B0B">
        <w:rPr>
          <w:noProof/>
        </w:rPr>
        <w:instrText xml:space="preserve"> SEQ Figure \* ARABIC </w:instrText>
      </w:r>
      <w:r w:rsidR="00FE1E2D" w:rsidRPr="003F3B0B">
        <w:rPr>
          <w:noProof/>
        </w:rPr>
        <w:fldChar w:fldCharType="separate"/>
      </w:r>
      <w:r w:rsidR="003D1AA2" w:rsidRPr="003F3B0B">
        <w:rPr>
          <w:noProof/>
        </w:rPr>
        <w:t>10</w:t>
      </w:r>
      <w:r w:rsidR="00FE1E2D" w:rsidRPr="003F3B0B">
        <w:rPr>
          <w:noProof/>
        </w:rPr>
        <w:fldChar w:fldCharType="end"/>
      </w:r>
      <w:bookmarkEnd w:id="18"/>
      <w:r w:rsidRPr="003F3B0B">
        <w:t>.</w:t>
      </w:r>
      <w:bookmarkEnd w:id="19"/>
      <w:r w:rsidR="006058DF" w:rsidRPr="003F3B0B">
        <w:t xml:space="preserve"> Curvature-slip relationship for the different risers used in this study.</w:t>
      </w:r>
    </w:p>
    <w:p w14:paraId="56497369" w14:textId="77777777" w:rsidR="006058DF" w:rsidRPr="003F3B0B" w:rsidRDefault="006058DF" w:rsidP="006058DF">
      <w:pPr>
        <w:pStyle w:val="Quote"/>
        <w:rPr>
          <w:color w:val="auto"/>
        </w:rPr>
      </w:pPr>
    </w:p>
    <w:p w14:paraId="1FE9CDDF" w14:textId="51709C94" w:rsidR="006058DF" w:rsidRPr="003F3B0B" w:rsidRDefault="007E7D57" w:rsidP="007E7D57">
      <w:pPr>
        <w:pStyle w:val="Caption"/>
      </w:pPr>
      <w:bookmarkStart w:id="20" w:name="_Ref11249266"/>
      <w:bookmarkStart w:id="21" w:name="_Ref464914324"/>
      <w:r w:rsidRPr="003F3B0B">
        <w:t xml:space="preserve">Figure </w:t>
      </w:r>
      <w:r w:rsidR="00FE1E2D" w:rsidRPr="003F3B0B">
        <w:rPr>
          <w:noProof/>
        </w:rPr>
        <w:fldChar w:fldCharType="begin"/>
      </w:r>
      <w:r w:rsidR="00FE1E2D" w:rsidRPr="003F3B0B">
        <w:rPr>
          <w:noProof/>
        </w:rPr>
        <w:instrText xml:space="preserve"> SEQ Figure \* ARABIC </w:instrText>
      </w:r>
      <w:r w:rsidR="00FE1E2D" w:rsidRPr="003F3B0B">
        <w:rPr>
          <w:noProof/>
        </w:rPr>
        <w:fldChar w:fldCharType="separate"/>
      </w:r>
      <w:r w:rsidR="003D1AA2" w:rsidRPr="003F3B0B">
        <w:rPr>
          <w:noProof/>
        </w:rPr>
        <w:t>11</w:t>
      </w:r>
      <w:r w:rsidR="00FE1E2D" w:rsidRPr="003F3B0B">
        <w:rPr>
          <w:noProof/>
        </w:rPr>
        <w:fldChar w:fldCharType="end"/>
      </w:r>
      <w:bookmarkEnd w:id="20"/>
      <w:r w:rsidRPr="003F3B0B">
        <w:t xml:space="preserve">. </w:t>
      </w:r>
      <w:bookmarkEnd w:id="21"/>
      <w:r w:rsidR="006058DF" w:rsidRPr="003F3B0B">
        <w:rPr>
          <w:noProof/>
        </w:rPr>
        <w:t>Number</w:t>
      </w:r>
      <w:r w:rsidR="006058DF" w:rsidRPr="003F3B0B">
        <w:t xml:space="preserve"> of cycles to crack initiation against nub-groove displacement for all three risers.</w:t>
      </w:r>
    </w:p>
    <w:p w14:paraId="678BA220" w14:textId="77777777" w:rsidR="006058DF" w:rsidRPr="003F3B0B" w:rsidRDefault="006058DF" w:rsidP="006058DF">
      <w:pPr>
        <w:pStyle w:val="Quote"/>
        <w:rPr>
          <w:color w:val="auto"/>
        </w:rPr>
      </w:pPr>
    </w:p>
    <w:p w14:paraId="72D795B7" w14:textId="6833B015" w:rsidR="006058DF" w:rsidRPr="003F3B0B" w:rsidRDefault="007E7D57" w:rsidP="007E7D57">
      <w:pPr>
        <w:pStyle w:val="Caption"/>
      </w:pPr>
      <w:bookmarkStart w:id="22" w:name="_Ref11249292"/>
      <w:bookmarkStart w:id="23" w:name="_Ref464914573"/>
      <w:r w:rsidRPr="003F3B0B">
        <w:t xml:space="preserve">Figure </w:t>
      </w:r>
      <w:r w:rsidR="00FE1E2D" w:rsidRPr="003F3B0B">
        <w:rPr>
          <w:noProof/>
        </w:rPr>
        <w:fldChar w:fldCharType="begin"/>
      </w:r>
      <w:r w:rsidR="00FE1E2D" w:rsidRPr="003F3B0B">
        <w:rPr>
          <w:noProof/>
        </w:rPr>
        <w:instrText xml:space="preserve"> SEQ Figure \* ARABIC </w:instrText>
      </w:r>
      <w:r w:rsidR="00FE1E2D" w:rsidRPr="003F3B0B">
        <w:rPr>
          <w:noProof/>
        </w:rPr>
        <w:fldChar w:fldCharType="separate"/>
      </w:r>
      <w:r w:rsidR="003D1AA2" w:rsidRPr="003F3B0B">
        <w:rPr>
          <w:noProof/>
        </w:rPr>
        <w:t>12</w:t>
      </w:r>
      <w:r w:rsidR="00FE1E2D" w:rsidRPr="003F3B0B">
        <w:rPr>
          <w:noProof/>
        </w:rPr>
        <w:fldChar w:fldCharType="end"/>
      </w:r>
      <w:bookmarkEnd w:id="22"/>
      <w:r w:rsidRPr="003F3B0B">
        <w:t>.</w:t>
      </w:r>
      <w:bookmarkEnd w:id="23"/>
      <w:r w:rsidR="006058DF" w:rsidRPr="003F3B0B">
        <w:t xml:space="preserve"> </w:t>
      </w:r>
      <w:r w:rsidR="006058DF" w:rsidRPr="003F3B0B">
        <w:rPr>
          <w:noProof/>
        </w:rPr>
        <w:t>Number</w:t>
      </w:r>
      <w:r w:rsidR="006058DF" w:rsidRPr="003F3B0B">
        <w:t xml:space="preserve"> of cycles to crack initiation against dynamic riser curvature for all three risers and definition of </w:t>
      </w:r>
      <w:r w:rsidR="006058DF" w:rsidRPr="003F3B0B">
        <w:rPr>
          <w:rFonts w:cs="Times New Roman"/>
          <w:i/>
        </w:rPr>
        <w:t>Δκ</w:t>
      </w:r>
      <w:r w:rsidR="006058DF" w:rsidRPr="003F3B0B">
        <w:rPr>
          <w:vertAlign w:val="subscript"/>
        </w:rPr>
        <w:t>crit</w:t>
      </w:r>
      <w:r w:rsidR="006058DF" w:rsidRPr="003F3B0B">
        <w:rPr>
          <w:rFonts w:eastAsiaTheme="minorEastAsia"/>
        </w:rPr>
        <w:t xml:space="preserve"> for each riser case</w:t>
      </w:r>
      <w:r w:rsidR="006058DF" w:rsidRPr="003F3B0B">
        <w:t>.</w:t>
      </w:r>
    </w:p>
    <w:p w14:paraId="3582C3E4" w14:textId="77777777" w:rsidR="006058DF" w:rsidRPr="003F3B0B" w:rsidRDefault="006058DF" w:rsidP="006058DF">
      <w:pPr>
        <w:pStyle w:val="Quote"/>
        <w:rPr>
          <w:color w:val="auto"/>
        </w:rPr>
      </w:pPr>
    </w:p>
    <w:p w14:paraId="74A1DCA3" w14:textId="15853B20" w:rsidR="006058DF" w:rsidRPr="003F3B0B" w:rsidRDefault="007E7D57" w:rsidP="007E7D57">
      <w:pPr>
        <w:pStyle w:val="Caption"/>
      </w:pPr>
      <w:bookmarkStart w:id="24" w:name="_Ref470007303"/>
      <w:bookmarkStart w:id="25" w:name="_Ref483506651"/>
      <w:bookmarkStart w:id="26" w:name="_Ref11249394"/>
      <w:r w:rsidRPr="003F3B0B">
        <w:t xml:space="preserve">Figure </w:t>
      </w:r>
      <w:r w:rsidR="00FE1E2D" w:rsidRPr="003F3B0B">
        <w:rPr>
          <w:noProof/>
        </w:rPr>
        <w:fldChar w:fldCharType="begin"/>
      </w:r>
      <w:r w:rsidR="00FE1E2D" w:rsidRPr="003F3B0B">
        <w:rPr>
          <w:noProof/>
        </w:rPr>
        <w:instrText xml:space="preserve"> SEQ Figure \* ARABIC </w:instrText>
      </w:r>
      <w:r w:rsidR="00FE1E2D" w:rsidRPr="003F3B0B">
        <w:rPr>
          <w:noProof/>
        </w:rPr>
        <w:fldChar w:fldCharType="separate"/>
      </w:r>
      <w:r w:rsidR="003D1AA2" w:rsidRPr="003F3B0B">
        <w:rPr>
          <w:noProof/>
        </w:rPr>
        <w:t>13</w:t>
      </w:r>
      <w:r w:rsidR="00FE1E2D" w:rsidRPr="003F3B0B">
        <w:rPr>
          <w:noProof/>
        </w:rPr>
        <w:fldChar w:fldCharType="end"/>
      </w:r>
      <w:bookmarkEnd w:id="24"/>
      <w:bookmarkEnd w:id="25"/>
      <w:bookmarkEnd w:id="26"/>
      <w:r w:rsidR="006058DF" w:rsidRPr="003F3B0B">
        <w:t xml:space="preserve">. Effect of </w:t>
      </w:r>
      <w:r w:rsidR="000F5E2F" w:rsidRPr="003F3B0B">
        <w:t xml:space="preserve">(a) nub-groove contact slip and (b) </w:t>
      </w:r>
      <w:r w:rsidR="006058DF" w:rsidRPr="003F3B0B">
        <w:t xml:space="preserve">global riser curvature on number of cycles to crack initiation and propagation for the 6 inch riser. </w:t>
      </w:r>
    </w:p>
    <w:p w14:paraId="3D3FA5CA" w14:textId="77777777" w:rsidR="006058DF" w:rsidRPr="003F3B0B" w:rsidRDefault="006058DF" w:rsidP="006058DF">
      <w:pPr>
        <w:pStyle w:val="Quote"/>
        <w:rPr>
          <w:color w:val="auto"/>
        </w:rPr>
      </w:pPr>
    </w:p>
    <w:p w14:paraId="4DC81073" w14:textId="3339FEBC" w:rsidR="006058DF" w:rsidRPr="003F3B0B" w:rsidRDefault="007E7D57" w:rsidP="007E7D57">
      <w:pPr>
        <w:pStyle w:val="Caption"/>
      </w:pPr>
      <w:bookmarkStart w:id="27" w:name="_Ref11249421"/>
      <w:bookmarkStart w:id="28" w:name="_Ref470007421"/>
      <w:r w:rsidRPr="003F3B0B">
        <w:t xml:space="preserve">Figure </w:t>
      </w:r>
      <w:r w:rsidR="00FE1E2D" w:rsidRPr="003F3B0B">
        <w:rPr>
          <w:noProof/>
        </w:rPr>
        <w:fldChar w:fldCharType="begin"/>
      </w:r>
      <w:r w:rsidR="00FE1E2D" w:rsidRPr="003F3B0B">
        <w:rPr>
          <w:noProof/>
        </w:rPr>
        <w:instrText xml:space="preserve"> SEQ Figure \* ARABIC </w:instrText>
      </w:r>
      <w:r w:rsidR="00FE1E2D" w:rsidRPr="003F3B0B">
        <w:rPr>
          <w:noProof/>
        </w:rPr>
        <w:fldChar w:fldCharType="separate"/>
      </w:r>
      <w:r w:rsidR="003D1AA2" w:rsidRPr="003F3B0B">
        <w:rPr>
          <w:noProof/>
        </w:rPr>
        <w:t>14</w:t>
      </w:r>
      <w:r w:rsidR="00FE1E2D" w:rsidRPr="003F3B0B">
        <w:rPr>
          <w:noProof/>
        </w:rPr>
        <w:fldChar w:fldCharType="end"/>
      </w:r>
      <w:bookmarkEnd w:id="27"/>
      <w:r w:rsidRPr="003F3B0B">
        <w:t xml:space="preserve">. </w:t>
      </w:r>
      <w:bookmarkEnd w:id="28"/>
      <w:r w:rsidR="006058DF" w:rsidRPr="003F3B0B">
        <w:t>RCFM for predicted n</w:t>
      </w:r>
      <w:r w:rsidR="006058DF" w:rsidRPr="003F3B0B">
        <w:rPr>
          <w:noProof/>
        </w:rPr>
        <w:t>umber</w:t>
      </w:r>
      <w:r w:rsidR="006058DF" w:rsidRPr="003F3B0B">
        <w:t xml:space="preserve"> of cycles to failure for dynamic curvature range for all three risers.</w:t>
      </w:r>
    </w:p>
    <w:p w14:paraId="0F2BD775" w14:textId="77777777" w:rsidR="006058DF" w:rsidRPr="003F3B0B" w:rsidRDefault="006058DF" w:rsidP="006058DF"/>
    <w:p w14:paraId="24B74E98" w14:textId="00173165" w:rsidR="006058DF" w:rsidRPr="003F3B0B" w:rsidRDefault="007E7D57" w:rsidP="008455C3">
      <w:pPr>
        <w:pStyle w:val="Caption"/>
        <w:rPr>
          <w:rFonts w:cs="Times New Roman"/>
          <w:b/>
          <w:sz w:val="28"/>
          <w:szCs w:val="28"/>
        </w:rPr>
      </w:pPr>
      <w:bookmarkStart w:id="29" w:name="_Ref11249443"/>
      <w:bookmarkStart w:id="30" w:name="_Ref483506665"/>
      <w:r w:rsidRPr="003F3B0B">
        <w:t xml:space="preserve">Figure </w:t>
      </w:r>
      <w:r w:rsidR="00FE1E2D" w:rsidRPr="003F3B0B">
        <w:rPr>
          <w:noProof/>
        </w:rPr>
        <w:fldChar w:fldCharType="begin"/>
      </w:r>
      <w:r w:rsidR="00FE1E2D" w:rsidRPr="003F3B0B">
        <w:rPr>
          <w:noProof/>
        </w:rPr>
        <w:instrText xml:space="preserve"> SEQ Figure \* ARABIC </w:instrText>
      </w:r>
      <w:r w:rsidR="00FE1E2D" w:rsidRPr="003F3B0B">
        <w:rPr>
          <w:noProof/>
        </w:rPr>
        <w:fldChar w:fldCharType="separate"/>
      </w:r>
      <w:r w:rsidR="003D1AA2" w:rsidRPr="003F3B0B">
        <w:rPr>
          <w:noProof/>
        </w:rPr>
        <w:t>15</w:t>
      </w:r>
      <w:r w:rsidR="00FE1E2D" w:rsidRPr="003F3B0B">
        <w:rPr>
          <w:noProof/>
        </w:rPr>
        <w:fldChar w:fldCharType="end"/>
      </w:r>
      <w:bookmarkEnd w:id="29"/>
      <w:r w:rsidRPr="003F3B0B">
        <w:t xml:space="preserve">. </w:t>
      </w:r>
      <w:bookmarkEnd w:id="30"/>
      <w:r w:rsidR="008455C3" w:rsidRPr="003F3B0B">
        <w:t>Predicted numbers of cycles to (a) to crack initiation and (b) failure for all load cases and all three risers.</w:t>
      </w:r>
      <w:r w:rsidR="006058DF" w:rsidRPr="003F3B0B">
        <w:rPr>
          <w:rFonts w:cs="Times New Roman"/>
          <w:b/>
          <w:sz w:val="28"/>
          <w:szCs w:val="28"/>
        </w:rPr>
        <w:br w:type="page"/>
      </w:r>
    </w:p>
    <w:p w14:paraId="274EF15D" w14:textId="77777777" w:rsidR="006058DF" w:rsidRPr="003F3B0B" w:rsidRDefault="006058DF" w:rsidP="006058DF">
      <w:pPr>
        <w:jc w:val="center"/>
        <w:rPr>
          <w:rFonts w:cs="Times New Roman"/>
          <w:sz w:val="28"/>
          <w:szCs w:val="28"/>
        </w:rPr>
      </w:pPr>
      <w:r w:rsidRPr="003F3B0B">
        <w:rPr>
          <w:rFonts w:cs="Times New Roman"/>
          <w:sz w:val="28"/>
          <w:szCs w:val="28"/>
        </w:rPr>
        <w:lastRenderedPageBreak/>
        <w:t>Tables</w:t>
      </w:r>
    </w:p>
    <w:p w14:paraId="1A8E55F4" w14:textId="271ABE02" w:rsidR="006058DF" w:rsidRPr="003F3B0B" w:rsidRDefault="00142FA4" w:rsidP="00142FA4">
      <w:pPr>
        <w:pStyle w:val="Caption"/>
      </w:pPr>
      <w:bookmarkStart w:id="31" w:name="_Ref11249829"/>
      <w:bookmarkStart w:id="32" w:name="_Ref457922967"/>
      <w:r w:rsidRPr="003F3B0B">
        <w:t xml:space="preserve">Table </w:t>
      </w:r>
      <w:r w:rsidR="00FE1E2D" w:rsidRPr="003F3B0B">
        <w:rPr>
          <w:noProof/>
        </w:rPr>
        <w:fldChar w:fldCharType="begin"/>
      </w:r>
      <w:r w:rsidR="00FE1E2D" w:rsidRPr="003F3B0B">
        <w:rPr>
          <w:noProof/>
        </w:rPr>
        <w:instrText xml:space="preserve"> SEQ Table \* ARABIC </w:instrText>
      </w:r>
      <w:r w:rsidR="00FE1E2D" w:rsidRPr="003F3B0B">
        <w:rPr>
          <w:noProof/>
        </w:rPr>
        <w:fldChar w:fldCharType="separate"/>
      </w:r>
      <w:r w:rsidR="003D1AA2" w:rsidRPr="003F3B0B">
        <w:rPr>
          <w:noProof/>
        </w:rPr>
        <w:t>1</w:t>
      </w:r>
      <w:r w:rsidR="00FE1E2D" w:rsidRPr="003F3B0B">
        <w:rPr>
          <w:noProof/>
        </w:rPr>
        <w:fldChar w:fldCharType="end"/>
      </w:r>
      <w:bookmarkEnd w:id="31"/>
      <w:r w:rsidRPr="003F3B0B">
        <w:t xml:space="preserve">. </w:t>
      </w:r>
      <w:bookmarkEnd w:id="32"/>
      <w:r w:rsidR="006058DF" w:rsidRPr="003F3B0B">
        <w:t>Riser geometrical and internal fluid data.</w:t>
      </w:r>
    </w:p>
    <w:p w14:paraId="61842AF6" w14:textId="77777777" w:rsidR="006058DF" w:rsidRPr="003F3B0B" w:rsidRDefault="006058DF" w:rsidP="006058DF"/>
    <w:p w14:paraId="2670F77C" w14:textId="0F565C3E" w:rsidR="006058DF" w:rsidRPr="003F3B0B" w:rsidRDefault="00142FA4" w:rsidP="00142FA4">
      <w:pPr>
        <w:pStyle w:val="Caption"/>
      </w:pPr>
      <w:bookmarkStart w:id="33" w:name="_Ref11249867"/>
      <w:bookmarkStart w:id="34" w:name="_Ref483664965"/>
      <w:r w:rsidRPr="003F3B0B">
        <w:t xml:space="preserve">Table </w:t>
      </w:r>
      <w:r w:rsidR="00FE1E2D" w:rsidRPr="003F3B0B">
        <w:rPr>
          <w:noProof/>
        </w:rPr>
        <w:fldChar w:fldCharType="begin"/>
      </w:r>
      <w:r w:rsidR="00FE1E2D" w:rsidRPr="003F3B0B">
        <w:rPr>
          <w:noProof/>
        </w:rPr>
        <w:instrText xml:space="preserve"> SEQ Table \* ARABIC </w:instrText>
      </w:r>
      <w:r w:rsidR="00FE1E2D" w:rsidRPr="003F3B0B">
        <w:rPr>
          <w:noProof/>
        </w:rPr>
        <w:fldChar w:fldCharType="separate"/>
      </w:r>
      <w:r w:rsidR="003D1AA2" w:rsidRPr="003F3B0B">
        <w:rPr>
          <w:noProof/>
        </w:rPr>
        <w:t>2</w:t>
      </w:r>
      <w:r w:rsidR="00FE1E2D" w:rsidRPr="003F3B0B">
        <w:rPr>
          <w:noProof/>
        </w:rPr>
        <w:fldChar w:fldCharType="end"/>
      </w:r>
      <w:bookmarkEnd w:id="33"/>
      <w:r w:rsidRPr="003F3B0B">
        <w:t xml:space="preserve">. </w:t>
      </w:r>
      <w:bookmarkEnd w:id="34"/>
      <w:r w:rsidR="006058DF" w:rsidRPr="003F3B0B">
        <w:t>Riser geometrical data.</w:t>
      </w:r>
    </w:p>
    <w:p w14:paraId="56D31AE6" w14:textId="77777777" w:rsidR="006058DF" w:rsidRPr="003F3B0B" w:rsidRDefault="006058DF" w:rsidP="006058DF"/>
    <w:p w14:paraId="7BBBD500" w14:textId="57E0F1DE" w:rsidR="006058DF" w:rsidRPr="003F3B0B" w:rsidRDefault="00142FA4" w:rsidP="00142FA4">
      <w:pPr>
        <w:pStyle w:val="Caption"/>
      </w:pPr>
      <w:bookmarkStart w:id="35" w:name="_Ref11249904"/>
      <w:bookmarkStart w:id="36" w:name="_Ref483490045"/>
      <w:r w:rsidRPr="003F3B0B">
        <w:t xml:space="preserve">Table </w:t>
      </w:r>
      <w:r w:rsidR="00FE1E2D" w:rsidRPr="003F3B0B">
        <w:rPr>
          <w:noProof/>
        </w:rPr>
        <w:fldChar w:fldCharType="begin"/>
      </w:r>
      <w:r w:rsidR="00FE1E2D" w:rsidRPr="003F3B0B">
        <w:rPr>
          <w:noProof/>
        </w:rPr>
        <w:instrText xml:space="preserve"> SEQ Table \* ARABIC </w:instrText>
      </w:r>
      <w:r w:rsidR="00FE1E2D" w:rsidRPr="003F3B0B">
        <w:rPr>
          <w:noProof/>
        </w:rPr>
        <w:fldChar w:fldCharType="separate"/>
      </w:r>
      <w:r w:rsidR="003D1AA2" w:rsidRPr="003F3B0B">
        <w:rPr>
          <w:noProof/>
        </w:rPr>
        <w:t>3</w:t>
      </w:r>
      <w:r w:rsidR="00FE1E2D" w:rsidRPr="003F3B0B">
        <w:rPr>
          <w:noProof/>
        </w:rPr>
        <w:fldChar w:fldCharType="end"/>
      </w:r>
      <w:bookmarkEnd w:id="35"/>
      <w:r w:rsidRPr="003F3B0B">
        <w:t xml:space="preserve">. </w:t>
      </w:r>
      <w:bookmarkEnd w:id="36"/>
      <w:r w:rsidR="006058DF" w:rsidRPr="003F3B0B">
        <w:t>Definition of regular wave load-cases for design study.</w:t>
      </w:r>
    </w:p>
    <w:p w14:paraId="6FE74CF8" w14:textId="77777777" w:rsidR="00A26A82" w:rsidRPr="003F3B0B" w:rsidRDefault="00A26A82" w:rsidP="006058DF">
      <w:pPr>
        <w:jc w:val="center"/>
        <w:rPr>
          <w:rFonts w:cs="Times New Roman"/>
          <w:b/>
          <w:sz w:val="28"/>
          <w:szCs w:val="28"/>
        </w:rPr>
      </w:pPr>
    </w:p>
    <w:p w14:paraId="1780BC8F" w14:textId="77777777" w:rsidR="007776B9" w:rsidRPr="003F3B0B" w:rsidRDefault="007776B9" w:rsidP="007776B9">
      <w:pPr>
        <w:pStyle w:val="Caption"/>
      </w:pPr>
      <w:bookmarkStart w:id="37" w:name="_Ref11321221"/>
      <w:bookmarkStart w:id="38" w:name="_Ref472066989"/>
      <w:r w:rsidRPr="003F3B0B">
        <w:t xml:space="preserve">Table </w:t>
      </w:r>
      <w:r w:rsidR="00FE1E2D" w:rsidRPr="003F3B0B">
        <w:rPr>
          <w:noProof/>
        </w:rPr>
        <w:fldChar w:fldCharType="begin"/>
      </w:r>
      <w:r w:rsidR="00FE1E2D" w:rsidRPr="003F3B0B">
        <w:rPr>
          <w:noProof/>
        </w:rPr>
        <w:instrText xml:space="preserve"> SEQ Table \* ARABIC </w:instrText>
      </w:r>
      <w:r w:rsidR="00FE1E2D" w:rsidRPr="003F3B0B">
        <w:rPr>
          <w:noProof/>
        </w:rPr>
        <w:fldChar w:fldCharType="separate"/>
      </w:r>
      <w:r w:rsidR="003D1AA2" w:rsidRPr="003F3B0B">
        <w:rPr>
          <w:noProof/>
        </w:rPr>
        <w:t>4</w:t>
      </w:r>
      <w:r w:rsidR="00FE1E2D" w:rsidRPr="003F3B0B">
        <w:rPr>
          <w:noProof/>
        </w:rPr>
        <w:fldChar w:fldCharType="end"/>
      </w:r>
      <w:bookmarkEnd w:id="37"/>
      <w:r w:rsidRPr="003F3B0B">
        <w:t xml:space="preserve">. </w:t>
      </w:r>
      <w:bookmarkEnd w:id="38"/>
      <w:r w:rsidRPr="003F3B0B">
        <w:t>Summary of the fretting test parameters.</w:t>
      </w:r>
    </w:p>
    <w:p w14:paraId="2877396D" w14:textId="77777777" w:rsidR="006D2DF2" w:rsidRPr="003F3B0B" w:rsidRDefault="006D2DF2" w:rsidP="006D2DF2"/>
    <w:p w14:paraId="03F26699" w14:textId="057F008F" w:rsidR="006D2DF2" w:rsidRPr="003F3B0B" w:rsidRDefault="006D2DF2" w:rsidP="006D2DF2">
      <w:pPr>
        <w:pStyle w:val="Caption"/>
      </w:pPr>
      <w:bookmarkStart w:id="39" w:name="_Ref450833270"/>
      <w:r w:rsidRPr="003F3B0B">
        <w:t xml:space="preserve">Table </w:t>
      </w:r>
      <w:fldSimple w:instr=" SEQ Table \* ARABIC ">
        <w:r w:rsidR="003D1AA2" w:rsidRPr="003F3B0B">
          <w:rPr>
            <w:noProof/>
          </w:rPr>
          <w:t>5</w:t>
        </w:r>
      </w:fldSimple>
      <w:bookmarkEnd w:id="39"/>
      <w:r w:rsidRPr="003F3B0B">
        <w:t>. Identified low- and high-cycle fatigue constants and</w:t>
      </w:r>
      <w:r w:rsidRPr="003F3B0B">
        <w:rPr>
          <w:i/>
        </w:rPr>
        <w:t xml:space="preserve"> D</w:t>
      </w:r>
      <w:r w:rsidRPr="003F3B0B">
        <w:rPr>
          <w:vertAlign w:val="subscript"/>
        </w:rPr>
        <w:t>fret</w:t>
      </w:r>
      <w:r w:rsidRPr="003F3B0B">
        <w:t xml:space="preserve"> constants for pressure armour wire </w:t>
      </w:r>
      <w:r w:rsidR="00D521B7" w:rsidRPr="003F3B0B">
        <w:fldChar w:fldCharType="begin" w:fldLock="1"/>
      </w:r>
      <w:r w:rsidR="00D521B7" w:rsidRPr="003F3B0B">
        <w:instrText>ADDIN CSL_CITATION { "citationItems" : [ { "id" : "ITEM-1", "itemData" : { "DOI" : "10.1016/J.TRIBOINT.2016.10.020", "ISSN" : "0301-679X", "abstract" : "This paper presents a combined experimental and computational methodology for fretting wear-fatigue prediction of pressure armour wire in flexible marine risers. Fretting wear, friction and fatigue parameters of pressure armour material have been characterised experimentally. A combined fretting wear-fatigue finite element model has been developed using an adaptive meshing technique and the effect of bending-induced tangential slip has been characterised. It has been shown that a surface damage parameter combined with a multiaxial fatigue parameter can accurately predict the beneficial effect of fretting wear on fatigue predictions. This provides a computationally efficient design tool for fretting in the pressure armour layer of flexible marine risers.", "author" : [ { "dropping-particle" : "", "family" : "O\u2019Halloran", "given" : "S.M.", "non-dropping-particle" : "", "parse-names" : false, "suffix" : "" }, { "dropping-particle" : "", "family" : "Shipway", "given" : "P.H.", "non-dropping-particle" : "", "parse-names" : false, "suffix" : "" }, { "dropping-particle" : "", "family" : "Connaire", "given" : "A.D.", "non-dropping-particle" : "", "parse-names" : false, "suffix" : "" }, { "dropping-particle" : "", "family" : "Leen", "given" : "S.B.", "non-dropping-particle" : "", "parse-names" : false, "suffix" : "" }, { "dropping-particle" : "", "family" : "Harte", "given" : "A.M.", "non-dropping-particle" : "", "parse-names" : false, "suffix" : "" } ], "container-title" : "Tribology International", "id" : "ITEM-1", "issued" : { "date-parts" : [ [ "2017", "4" ] ] }, "page" : "7-15", "publisher" : "Elsevier", "title" : "A combined wear-fatigue design methodology for fretting in the pressure armour layer of flexible marine risers", "type" : "article-journal", "volume" : "108" }, "uris" : [ "http://www.mendeley.com/documents/?uuid=185157f9-3db6-4b4e-b1c3-f959292fae47" ] } ], "mendeley" : { "formattedCitation" : "[23]", "plainTextFormattedCitation" : "[23]", "previouslyFormattedCitation" : "[23]" }, "properties" : { "noteIndex" : 36 }, "schema" : "https://github.com/citation-style-language/schema/raw/master/csl-citation.json" }</w:instrText>
      </w:r>
      <w:r w:rsidR="00D521B7" w:rsidRPr="003F3B0B">
        <w:fldChar w:fldCharType="separate"/>
      </w:r>
      <w:r w:rsidR="00D521B7" w:rsidRPr="003F3B0B">
        <w:rPr>
          <w:noProof/>
        </w:rPr>
        <w:t>[23]</w:t>
      </w:r>
      <w:r w:rsidR="00D521B7" w:rsidRPr="003F3B0B">
        <w:fldChar w:fldCharType="end"/>
      </w:r>
      <w:r w:rsidRPr="003F3B0B">
        <w:t>.</w:t>
      </w:r>
    </w:p>
    <w:p w14:paraId="40CE742B" w14:textId="77777777" w:rsidR="007776B9" w:rsidRPr="003F3B0B" w:rsidRDefault="007776B9" w:rsidP="006058DF">
      <w:pPr>
        <w:jc w:val="center"/>
        <w:rPr>
          <w:rFonts w:cs="Times New Roman"/>
          <w:b/>
          <w:sz w:val="28"/>
          <w:szCs w:val="28"/>
        </w:rPr>
      </w:pPr>
    </w:p>
    <w:p w14:paraId="4B4B74A1" w14:textId="77777777" w:rsidR="006058DF" w:rsidRPr="003F3B0B" w:rsidRDefault="00142FA4" w:rsidP="00142FA4">
      <w:pPr>
        <w:pStyle w:val="Caption"/>
      </w:pPr>
      <w:bookmarkStart w:id="40" w:name="_Ref11249936"/>
      <w:bookmarkStart w:id="41" w:name="_Ref483506773"/>
      <w:r w:rsidRPr="003F3B0B">
        <w:t xml:space="preserve">Table </w:t>
      </w:r>
      <w:r w:rsidR="00FE1E2D" w:rsidRPr="003F3B0B">
        <w:rPr>
          <w:noProof/>
        </w:rPr>
        <w:fldChar w:fldCharType="begin"/>
      </w:r>
      <w:r w:rsidR="00FE1E2D" w:rsidRPr="003F3B0B">
        <w:rPr>
          <w:noProof/>
        </w:rPr>
        <w:instrText xml:space="preserve"> SEQ Table \* ARABIC </w:instrText>
      </w:r>
      <w:r w:rsidR="00FE1E2D" w:rsidRPr="003F3B0B">
        <w:rPr>
          <w:noProof/>
        </w:rPr>
        <w:fldChar w:fldCharType="separate"/>
      </w:r>
      <w:r w:rsidR="003D1AA2" w:rsidRPr="003F3B0B">
        <w:rPr>
          <w:noProof/>
        </w:rPr>
        <w:t>6</w:t>
      </w:r>
      <w:r w:rsidR="00FE1E2D" w:rsidRPr="003F3B0B">
        <w:rPr>
          <w:noProof/>
        </w:rPr>
        <w:fldChar w:fldCharType="end"/>
      </w:r>
      <w:bookmarkEnd w:id="40"/>
      <w:r w:rsidRPr="003F3B0B">
        <w:t xml:space="preserve">. </w:t>
      </w:r>
      <w:bookmarkEnd w:id="41"/>
      <w:r w:rsidR="006058DF" w:rsidRPr="003F3B0B">
        <w:rPr>
          <w:i/>
        </w:rPr>
        <w:t>A</w:t>
      </w:r>
      <w:r w:rsidR="006058DF" w:rsidRPr="003F3B0B">
        <w:t xml:space="preserve">, </w:t>
      </w:r>
      <w:r w:rsidR="006058DF" w:rsidRPr="003F3B0B">
        <w:rPr>
          <w:i/>
        </w:rPr>
        <w:t>B</w:t>
      </w:r>
      <w:r w:rsidR="006058DF" w:rsidRPr="003F3B0B">
        <w:t xml:space="preserve">, and </w:t>
      </w:r>
      <w:r w:rsidR="006058DF" w:rsidRPr="003F3B0B">
        <w:rPr>
          <w:i/>
        </w:rPr>
        <w:t>C</w:t>
      </w:r>
      <w:r w:rsidR="006058DF" w:rsidRPr="003F3B0B">
        <w:t xml:space="preserve"> for each riser geometry and nub-groove sliding conditions</w:t>
      </w:r>
    </w:p>
    <w:p w14:paraId="28C62A9E" w14:textId="77777777" w:rsidR="006058DF" w:rsidRPr="003F3B0B" w:rsidRDefault="006058DF" w:rsidP="006058DF"/>
    <w:p w14:paraId="555DB8FA" w14:textId="1B8F8505" w:rsidR="006058DF" w:rsidRPr="003F3B0B" w:rsidRDefault="00142FA4" w:rsidP="00142FA4">
      <w:pPr>
        <w:pStyle w:val="Caption"/>
      </w:pPr>
      <w:bookmarkStart w:id="42" w:name="_Ref11249966"/>
      <w:bookmarkStart w:id="43" w:name="_Ref473888267"/>
      <w:r w:rsidRPr="003F3B0B">
        <w:t xml:space="preserve">Table </w:t>
      </w:r>
      <w:r w:rsidR="00FE1E2D" w:rsidRPr="003F3B0B">
        <w:rPr>
          <w:noProof/>
        </w:rPr>
        <w:fldChar w:fldCharType="begin"/>
      </w:r>
      <w:r w:rsidR="00FE1E2D" w:rsidRPr="003F3B0B">
        <w:rPr>
          <w:noProof/>
        </w:rPr>
        <w:instrText xml:space="preserve"> SEQ Table \* ARABIC </w:instrText>
      </w:r>
      <w:r w:rsidR="00FE1E2D" w:rsidRPr="003F3B0B">
        <w:rPr>
          <w:noProof/>
        </w:rPr>
        <w:fldChar w:fldCharType="separate"/>
      </w:r>
      <w:r w:rsidR="003D1AA2" w:rsidRPr="003F3B0B">
        <w:rPr>
          <w:noProof/>
        </w:rPr>
        <w:t>7</w:t>
      </w:r>
      <w:r w:rsidR="00FE1E2D" w:rsidRPr="003F3B0B">
        <w:rPr>
          <w:noProof/>
        </w:rPr>
        <w:fldChar w:fldCharType="end"/>
      </w:r>
      <w:bookmarkEnd w:id="42"/>
      <w:r w:rsidRPr="003F3B0B">
        <w:t xml:space="preserve">. </w:t>
      </w:r>
      <w:bookmarkEnd w:id="43"/>
      <w:r w:rsidR="002A5E8E" w:rsidRPr="003F3B0B">
        <w:t>M</w:t>
      </w:r>
      <w:r w:rsidR="006058DF" w:rsidRPr="003F3B0B">
        <w:t>aximum nub-groove contact displacements for each riser and load case.</w:t>
      </w:r>
    </w:p>
    <w:p w14:paraId="078E36E6" w14:textId="77777777" w:rsidR="006058DF" w:rsidRPr="003F3B0B" w:rsidRDefault="006058DF" w:rsidP="006058DF"/>
    <w:p w14:paraId="75DCD47E" w14:textId="77777777" w:rsidR="00A07759" w:rsidRPr="003F3B0B" w:rsidRDefault="00A07759" w:rsidP="00A07759"/>
    <w:p w14:paraId="33D0D5CB" w14:textId="77777777" w:rsidR="006058DF" w:rsidRPr="003F3B0B" w:rsidRDefault="006058DF" w:rsidP="006058DF">
      <w:pPr>
        <w:jc w:val="center"/>
        <w:rPr>
          <w:rFonts w:cs="Times New Roman"/>
          <w:b/>
          <w:sz w:val="28"/>
          <w:szCs w:val="28"/>
        </w:rPr>
      </w:pPr>
    </w:p>
    <w:p w14:paraId="26C96259" w14:textId="77777777" w:rsidR="003F3B0B" w:rsidRPr="003F3B0B" w:rsidRDefault="003F3B0B" w:rsidP="006058DF">
      <w:pPr>
        <w:jc w:val="center"/>
        <w:rPr>
          <w:rFonts w:cs="Times New Roman"/>
          <w:b/>
          <w:sz w:val="28"/>
          <w:szCs w:val="28"/>
        </w:rPr>
      </w:pPr>
    </w:p>
    <w:p w14:paraId="16CEC2D5" w14:textId="77777777" w:rsidR="003F3B0B" w:rsidRPr="003F3B0B" w:rsidRDefault="003F3B0B" w:rsidP="006058DF">
      <w:pPr>
        <w:jc w:val="center"/>
        <w:rPr>
          <w:rFonts w:cs="Times New Roman"/>
          <w:b/>
          <w:sz w:val="28"/>
          <w:szCs w:val="28"/>
        </w:rPr>
      </w:pPr>
    </w:p>
    <w:p w14:paraId="15151855" w14:textId="77777777" w:rsidR="003F3B0B" w:rsidRPr="003F3B0B" w:rsidRDefault="003F3B0B" w:rsidP="006058DF">
      <w:pPr>
        <w:jc w:val="center"/>
        <w:rPr>
          <w:rFonts w:cs="Times New Roman"/>
          <w:b/>
          <w:sz w:val="28"/>
          <w:szCs w:val="28"/>
        </w:rPr>
      </w:pPr>
    </w:p>
    <w:p w14:paraId="65533C22" w14:textId="77777777" w:rsidR="003F3B0B" w:rsidRPr="003F3B0B" w:rsidRDefault="003F3B0B" w:rsidP="006058DF">
      <w:pPr>
        <w:jc w:val="center"/>
        <w:rPr>
          <w:rFonts w:cs="Times New Roman"/>
          <w:b/>
          <w:sz w:val="28"/>
          <w:szCs w:val="28"/>
        </w:rPr>
      </w:pPr>
    </w:p>
    <w:p w14:paraId="646C9E75" w14:textId="77777777" w:rsidR="003F3B0B" w:rsidRPr="003F3B0B" w:rsidRDefault="003F3B0B" w:rsidP="003F3B0B">
      <w:pPr>
        <w:jc w:val="center"/>
        <w:rPr>
          <w:rFonts w:cs="Times New Roman"/>
          <w:b/>
          <w:sz w:val="28"/>
          <w:szCs w:val="28"/>
        </w:rPr>
      </w:pPr>
      <w:r w:rsidRPr="003F3B0B">
        <w:rPr>
          <w:rFonts w:cs="Times New Roman"/>
          <w:b/>
          <w:sz w:val="28"/>
          <w:szCs w:val="28"/>
        </w:rPr>
        <w:lastRenderedPageBreak/>
        <w:t>Tables</w:t>
      </w:r>
    </w:p>
    <w:p w14:paraId="3607D2E9" w14:textId="77777777" w:rsidR="003F3B0B" w:rsidRPr="003F3B0B" w:rsidRDefault="003F3B0B" w:rsidP="003F3B0B">
      <w:pPr>
        <w:pStyle w:val="Caption"/>
      </w:pPr>
      <w:proofErr w:type="gramStart"/>
      <w:r w:rsidRPr="003F3B0B">
        <w:t xml:space="preserve">Table </w:t>
      </w:r>
      <w:r w:rsidRPr="003F3B0B">
        <w:fldChar w:fldCharType="begin"/>
      </w:r>
      <w:r w:rsidRPr="003F3B0B">
        <w:instrText xml:space="preserve"> SEQ Table \* ARABIC </w:instrText>
      </w:r>
      <w:r w:rsidRPr="003F3B0B">
        <w:fldChar w:fldCharType="separate"/>
      </w:r>
      <w:r w:rsidRPr="003F3B0B">
        <w:rPr>
          <w:noProof/>
        </w:rPr>
        <w:t>1</w:t>
      </w:r>
      <w:r w:rsidRPr="003F3B0B">
        <w:rPr>
          <w:noProof/>
        </w:rPr>
        <w:fldChar w:fldCharType="end"/>
      </w:r>
      <w:r w:rsidRPr="003F3B0B">
        <w:t>.</w:t>
      </w:r>
      <w:proofErr w:type="gramEnd"/>
      <w:r w:rsidRPr="003F3B0B">
        <w:t xml:space="preserve"> </w:t>
      </w:r>
      <w:proofErr w:type="gramStart"/>
      <w:r w:rsidRPr="003F3B0B">
        <w:t>Riser geometrical and internal fluid data.</w:t>
      </w:r>
      <w:proofErr w:type="gramEnd"/>
    </w:p>
    <w:tbl>
      <w:tblPr>
        <w:tblStyle w:val="TableGrid"/>
        <w:tblW w:w="9452"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1527"/>
        <w:gridCol w:w="1679"/>
        <w:gridCol w:w="1836"/>
        <w:gridCol w:w="1648"/>
        <w:gridCol w:w="1661"/>
      </w:tblGrid>
      <w:tr w:rsidR="003F3B0B" w:rsidRPr="003F3B0B" w14:paraId="4E55530F" w14:textId="77777777" w:rsidTr="007B70DB">
        <w:trPr>
          <w:jc w:val="center"/>
        </w:trPr>
        <w:tc>
          <w:tcPr>
            <w:tcW w:w="1101" w:type="dxa"/>
            <w:tcBorders>
              <w:top w:val="single" w:sz="4" w:space="0" w:color="auto"/>
              <w:bottom w:val="single" w:sz="4" w:space="0" w:color="auto"/>
            </w:tcBorders>
            <w:vAlign w:val="center"/>
          </w:tcPr>
          <w:p w14:paraId="6532F767" w14:textId="77777777" w:rsidR="003F3B0B" w:rsidRPr="003F3B0B" w:rsidRDefault="003F3B0B" w:rsidP="007B70DB">
            <w:pPr>
              <w:pStyle w:val="Quote"/>
              <w:rPr>
                <w:color w:val="auto"/>
              </w:rPr>
            </w:pPr>
            <w:r w:rsidRPr="003F3B0B">
              <w:rPr>
                <w:color w:val="auto"/>
              </w:rPr>
              <w:t>Riser</w:t>
            </w:r>
          </w:p>
        </w:tc>
        <w:tc>
          <w:tcPr>
            <w:tcW w:w="1527" w:type="dxa"/>
            <w:tcBorders>
              <w:top w:val="single" w:sz="4" w:space="0" w:color="auto"/>
              <w:bottom w:val="single" w:sz="4" w:space="0" w:color="auto"/>
            </w:tcBorders>
            <w:vAlign w:val="center"/>
          </w:tcPr>
          <w:p w14:paraId="6F4A248C" w14:textId="77777777" w:rsidR="003F3B0B" w:rsidRPr="003F3B0B" w:rsidRDefault="003F3B0B" w:rsidP="007B70DB">
            <w:pPr>
              <w:pStyle w:val="Quote"/>
              <w:rPr>
                <w:color w:val="auto"/>
              </w:rPr>
            </w:pPr>
            <w:r w:rsidRPr="003F3B0B">
              <w:rPr>
                <w:color w:val="auto"/>
              </w:rPr>
              <w:t>Inner diameter (mm)</w:t>
            </w:r>
          </w:p>
        </w:tc>
        <w:tc>
          <w:tcPr>
            <w:tcW w:w="1679" w:type="dxa"/>
            <w:tcBorders>
              <w:top w:val="single" w:sz="4" w:space="0" w:color="auto"/>
              <w:bottom w:val="single" w:sz="4" w:space="0" w:color="auto"/>
            </w:tcBorders>
            <w:vAlign w:val="center"/>
          </w:tcPr>
          <w:p w14:paraId="0A6911EA" w14:textId="77777777" w:rsidR="003F3B0B" w:rsidRPr="003F3B0B" w:rsidRDefault="003F3B0B" w:rsidP="007B70DB">
            <w:pPr>
              <w:pStyle w:val="Quote"/>
              <w:rPr>
                <w:color w:val="auto"/>
              </w:rPr>
            </w:pPr>
            <w:r w:rsidRPr="003F3B0B">
              <w:rPr>
                <w:color w:val="auto"/>
              </w:rPr>
              <w:t>Outer diameter (mm)</w:t>
            </w:r>
          </w:p>
        </w:tc>
        <w:tc>
          <w:tcPr>
            <w:tcW w:w="1836" w:type="dxa"/>
            <w:tcBorders>
              <w:top w:val="single" w:sz="4" w:space="0" w:color="auto"/>
              <w:bottom w:val="single" w:sz="4" w:space="0" w:color="auto"/>
            </w:tcBorders>
            <w:vAlign w:val="center"/>
          </w:tcPr>
          <w:p w14:paraId="7BE0E5A4" w14:textId="77777777" w:rsidR="003F3B0B" w:rsidRPr="003F3B0B" w:rsidRDefault="003F3B0B" w:rsidP="007B70DB">
            <w:pPr>
              <w:pStyle w:val="Quote"/>
              <w:rPr>
                <w:color w:val="auto"/>
              </w:rPr>
            </w:pPr>
            <w:r w:rsidRPr="003F3B0B">
              <w:rPr>
                <w:color w:val="auto"/>
              </w:rPr>
              <w:t>Internal Fluid</w:t>
            </w:r>
          </w:p>
        </w:tc>
        <w:tc>
          <w:tcPr>
            <w:tcW w:w="1648" w:type="dxa"/>
            <w:tcBorders>
              <w:top w:val="single" w:sz="4" w:space="0" w:color="auto"/>
              <w:bottom w:val="single" w:sz="4" w:space="0" w:color="auto"/>
            </w:tcBorders>
          </w:tcPr>
          <w:p w14:paraId="7DD6C826" w14:textId="77777777" w:rsidR="003F3B0B" w:rsidRPr="003F3B0B" w:rsidRDefault="003F3B0B" w:rsidP="007B70DB">
            <w:pPr>
              <w:pStyle w:val="Quote"/>
              <w:rPr>
                <w:color w:val="auto"/>
              </w:rPr>
            </w:pPr>
            <w:r w:rsidRPr="003F3B0B">
              <w:rPr>
                <w:color w:val="auto"/>
              </w:rPr>
              <w:t>Internal fluid density (kg/m</w:t>
            </w:r>
            <w:r w:rsidRPr="003F3B0B">
              <w:rPr>
                <w:color w:val="auto"/>
                <w:vertAlign w:val="superscript"/>
              </w:rPr>
              <w:t>3</w:t>
            </w:r>
            <w:r w:rsidRPr="003F3B0B">
              <w:rPr>
                <w:color w:val="auto"/>
              </w:rPr>
              <w:t>)</w:t>
            </w:r>
          </w:p>
        </w:tc>
        <w:tc>
          <w:tcPr>
            <w:tcW w:w="1661" w:type="dxa"/>
            <w:tcBorders>
              <w:top w:val="single" w:sz="4" w:space="0" w:color="auto"/>
              <w:bottom w:val="single" w:sz="4" w:space="0" w:color="auto"/>
            </w:tcBorders>
          </w:tcPr>
          <w:p w14:paraId="33C95882" w14:textId="77777777" w:rsidR="003F3B0B" w:rsidRPr="003F3B0B" w:rsidRDefault="003F3B0B" w:rsidP="007B70DB">
            <w:pPr>
              <w:pStyle w:val="Quote"/>
              <w:rPr>
                <w:color w:val="auto"/>
              </w:rPr>
            </w:pPr>
            <w:r w:rsidRPr="003F3B0B">
              <w:rPr>
                <w:color w:val="auto"/>
              </w:rPr>
              <w:t>Internal pressure (MPa)</w:t>
            </w:r>
          </w:p>
        </w:tc>
      </w:tr>
      <w:tr w:rsidR="003F3B0B" w:rsidRPr="003F3B0B" w14:paraId="501DC8A6" w14:textId="77777777" w:rsidTr="007B70DB">
        <w:trPr>
          <w:jc w:val="center"/>
        </w:trPr>
        <w:tc>
          <w:tcPr>
            <w:tcW w:w="1101" w:type="dxa"/>
          </w:tcPr>
          <w:p w14:paraId="3A604C81" w14:textId="77777777" w:rsidR="003F3B0B" w:rsidRPr="003F3B0B" w:rsidRDefault="003F3B0B" w:rsidP="007B70DB">
            <w:pPr>
              <w:pStyle w:val="Quote"/>
              <w:rPr>
                <w:color w:val="auto"/>
              </w:rPr>
            </w:pPr>
            <w:r w:rsidRPr="003F3B0B">
              <w:rPr>
                <w:color w:val="auto"/>
              </w:rPr>
              <w:t>11 inch</w:t>
            </w:r>
          </w:p>
        </w:tc>
        <w:tc>
          <w:tcPr>
            <w:tcW w:w="1527" w:type="dxa"/>
            <w:vAlign w:val="center"/>
          </w:tcPr>
          <w:p w14:paraId="1B63B37A" w14:textId="77777777" w:rsidR="003F3B0B" w:rsidRPr="003F3B0B" w:rsidRDefault="003F3B0B" w:rsidP="007B70DB">
            <w:pPr>
              <w:pStyle w:val="Quote"/>
              <w:rPr>
                <w:color w:val="auto"/>
              </w:rPr>
            </w:pPr>
            <w:r w:rsidRPr="003F3B0B">
              <w:rPr>
                <w:color w:val="auto"/>
              </w:rPr>
              <w:t>279.4</w:t>
            </w:r>
          </w:p>
        </w:tc>
        <w:tc>
          <w:tcPr>
            <w:tcW w:w="1679" w:type="dxa"/>
            <w:vAlign w:val="center"/>
          </w:tcPr>
          <w:p w14:paraId="5AE91527" w14:textId="77777777" w:rsidR="003F3B0B" w:rsidRPr="003F3B0B" w:rsidRDefault="003F3B0B" w:rsidP="007B70DB">
            <w:pPr>
              <w:pStyle w:val="Quote"/>
              <w:rPr>
                <w:color w:val="auto"/>
              </w:rPr>
            </w:pPr>
            <w:r w:rsidRPr="003F3B0B">
              <w:rPr>
                <w:color w:val="auto"/>
              </w:rPr>
              <w:t>404.5</w:t>
            </w:r>
          </w:p>
        </w:tc>
        <w:tc>
          <w:tcPr>
            <w:tcW w:w="1836" w:type="dxa"/>
            <w:vAlign w:val="center"/>
          </w:tcPr>
          <w:p w14:paraId="3ADD5E19" w14:textId="77777777" w:rsidR="003F3B0B" w:rsidRPr="003F3B0B" w:rsidRDefault="003F3B0B" w:rsidP="007B70DB">
            <w:pPr>
              <w:pStyle w:val="Quote"/>
              <w:rPr>
                <w:color w:val="auto"/>
              </w:rPr>
            </w:pPr>
            <w:r w:rsidRPr="003F3B0B">
              <w:rPr>
                <w:color w:val="auto"/>
              </w:rPr>
              <w:t>Water Injection</w:t>
            </w:r>
          </w:p>
        </w:tc>
        <w:tc>
          <w:tcPr>
            <w:tcW w:w="1648" w:type="dxa"/>
          </w:tcPr>
          <w:p w14:paraId="596FB242" w14:textId="77777777" w:rsidR="003F3B0B" w:rsidRPr="003F3B0B" w:rsidRDefault="003F3B0B" w:rsidP="007B70DB">
            <w:pPr>
              <w:pStyle w:val="Quote"/>
              <w:rPr>
                <w:color w:val="auto"/>
              </w:rPr>
            </w:pPr>
            <w:r w:rsidRPr="003F3B0B">
              <w:rPr>
                <w:color w:val="auto"/>
              </w:rPr>
              <w:t>1100</w:t>
            </w:r>
          </w:p>
        </w:tc>
        <w:tc>
          <w:tcPr>
            <w:tcW w:w="1661" w:type="dxa"/>
          </w:tcPr>
          <w:p w14:paraId="2D166B44" w14:textId="77777777" w:rsidR="003F3B0B" w:rsidRPr="003F3B0B" w:rsidRDefault="003F3B0B" w:rsidP="007B70DB">
            <w:pPr>
              <w:pStyle w:val="Quote"/>
              <w:rPr>
                <w:color w:val="auto"/>
              </w:rPr>
            </w:pPr>
            <w:r w:rsidRPr="003F3B0B">
              <w:rPr>
                <w:color w:val="auto"/>
              </w:rPr>
              <w:t>27.3</w:t>
            </w:r>
          </w:p>
        </w:tc>
      </w:tr>
      <w:tr w:rsidR="003F3B0B" w:rsidRPr="003F3B0B" w14:paraId="7814B190" w14:textId="77777777" w:rsidTr="007B70DB">
        <w:trPr>
          <w:jc w:val="center"/>
        </w:trPr>
        <w:tc>
          <w:tcPr>
            <w:tcW w:w="1101" w:type="dxa"/>
          </w:tcPr>
          <w:p w14:paraId="21A763F2" w14:textId="77777777" w:rsidR="003F3B0B" w:rsidRPr="003F3B0B" w:rsidRDefault="003F3B0B" w:rsidP="007B70DB">
            <w:pPr>
              <w:pStyle w:val="Quote"/>
              <w:rPr>
                <w:color w:val="auto"/>
              </w:rPr>
            </w:pPr>
            <w:r w:rsidRPr="003F3B0B">
              <w:rPr>
                <w:color w:val="auto"/>
              </w:rPr>
              <w:t>9 inch</w:t>
            </w:r>
          </w:p>
        </w:tc>
        <w:tc>
          <w:tcPr>
            <w:tcW w:w="1527" w:type="dxa"/>
            <w:vAlign w:val="center"/>
          </w:tcPr>
          <w:p w14:paraId="2DB1F403" w14:textId="77777777" w:rsidR="003F3B0B" w:rsidRPr="003F3B0B" w:rsidRDefault="003F3B0B" w:rsidP="007B70DB">
            <w:pPr>
              <w:pStyle w:val="Quote"/>
              <w:rPr>
                <w:color w:val="auto"/>
              </w:rPr>
            </w:pPr>
            <w:r w:rsidRPr="003F3B0B">
              <w:rPr>
                <w:color w:val="auto"/>
              </w:rPr>
              <w:t>222.3</w:t>
            </w:r>
          </w:p>
        </w:tc>
        <w:tc>
          <w:tcPr>
            <w:tcW w:w="1679" w:type="dxa"/>
            <w:vAlign w:val="center"/>
          </w:tcPr>
          <w:p w14:paraId="1EEADA4E" w14:textId="77777777" w:rsidR="003F3B0B" w:rsidRPr="003F3B0B" w:rsidRDefault="003F3B0B" w:rsidP="007B70DB">
            <w:pPr>
              <w:pStyle w:val="Quote"/>
              <w:rPr>
                <w:color w:val="auto"/>
              </w:rPr>
            </w:pPr>
            <w:r w:rsidRPr="003F3B0B">
              <w:rPr>
                <w:color w:val="auto"/>
              </w:rPr>
              <w:t>336.9</w:t>
            </w:r>
          </w:p>
        </w:tc>
        <w:tc>
          <w:tcPr>
            <w:tcW w:w="1836" w:type="dxa"/>
            <w:vAlign w:val="center"/>
          </w:tcPr>
          <w:p w14:paraId="32C59331" w14:textId="77777777" w:rsidR="003F3B0B" w:rsidRPr="003F3B0B" w:rsidRDefault="003F3B0B" w:rsidP="007B70DB">
            <w:pPr>
              <w:pStyle w:val="Quote"/>
              <w:rPr>
                <w:color w:val="auto"/>
              </w:rPr>
            </w:pPr>
            <w:r w:rsidRPr="003F3B0B">
              <w:rPr>
                <w:color w:val="auto"/>
              </w:rPr>
              <w:t>Gas Injection</w:t>
            </w:r>
          </w:p>
        </w:tc>
        <w:tc>
          <w:tcPr>
            <w:tcW w:w="1648" w:type="dxa"/>
          </w:tcPr>
          <w:p w14:paraId="60AC82C2" w14:textId="77777777" w:rsidR="003F3B0B" w:rsidRPr="003F3B0B" w:rsidRDefault="003F3B0B" w:rsidP="007B70DB">
            <w:pPr>
              <w:pStyle w:val="Quote"/>
              <w:rPr>
                <w:color w:val="auto"/>
              </w:rPr>
            </w:pPr>
            <w:r w:rsidRPr="003F3B0B">
              <w:rPr>
                <w:color w:val="auto"/>
              </w:rPr>
              <w:t>285</w:t>
            </w:r>
          </w:p>
        </w:tc>
        <w:tc>
          <w:tcPr>
            <w:tcW w:w="1661" w:type="dxa"/>
          </w:tcPr>
          <w:p w14:paraId="55214303" w14:textId="77777777" w:rsidR="003F3B0B" w:rsidRPr="003F3B0B" w:rsidRDefault="003F3B0B" w:rsidP="007B70DB">
            <w:pPr>
              <w:pStyle w:val="Quote"/>
              <w:rPr>
                <w:color w:val="auto"/>
              </w:rPr>
            </w:pPr>
            <w:r w:rsidRPr="003F3B0B">
              <w:rPr>
                <w:color w:val="auto"/>
              </w:rPr>
              <w:t>32.4</w:t>
            </w:r>
          </w:p>
        </w:tc>
      </w:tr>
      <w:tr w:rsidR="003F3B0B" w:rsidRPr="003F3B0B" w14:paraId="72A64BB2" w14:textId="77777777" w:rsidTr="007B70DB">
        <w:trPr>
          <w:jc w:val="center"/>
        </w:trPr>
        <w:tc>
          <w:tcPr>
            <w:tcW w:w="1101" w:type="dxa"/>
          </w:tcPr>
          <w:p w14:paraId="4CECDB98" w14:textId="77777777" w:rsidR="003F3B0B" w:rsidRPr="003F3B0B" w:rsidRDefault="003F3B0B" w:rsidP="007B70DB">
            <w:pPr>
              <w:pStyle w:val="Quote"/>
              <w:rPr>
                <w:color w:val="auto"/>
              </w:rPr>
            </w:pPr>
            <w:r w:rsidRPr="003F3B0B">
              <w:rPr>
                <w:color w:val="auto"/>
              </w:rPr>
              <w:t>6 inch</w:t>
            </w:r>
          </w:p>
        </w:tc>
        <w:tc>
          <w:tcPr>
            <w:tcW w:w="1527" w:type="dxa"/>
            <w:vAlign w:val="center"/>
          </w:tcPr>
          <w:p w14:paraId="35B140D8" w14:textId="77777777" w:rsidR="003F3B0B" w:rsidRPr="003F3B0B" w:rsidRDefault="003F3B0B" w:rsidP="007B70DB">
            <w:pPr>
              <w:pStyle w:val="Quote"/>
              <w:rPr>
                <w:color w:val="auto"/>
              </w:rPr>
            </w:pPr>
            <w:r w:rsidRPr="003F3B0B">
              <w:rPr>
                <w:color w:val="auto"/>
              </w:rPr>
              <w:t>152.4</w:t>
            </w:r>
          </w:p>
        </w:tc>
        <w:tc>
          <w:tcPr>
            <w:tcW w:w="1679" w:type="dxa"/>
            <w:vAlign w:val="center"/>
          </w:tcPr>
          <w:p w14:paraId="6C116426" w14:textId="77777777" w:rsidR="003F3B0B" w:rsidRPr="003F3B0B" w:rsidRDefault="003F3B0B" w:rsidP="007B70DB">
            <w:pPr>
              <w:pStyle w:val="Quote"/>
              <w:rPr>
                <w:color w:val="auto"/>
              </w:rPr>
            </w:pPr>
            <w:r w:rsidRPr="003F3B0B">
              <w:rPr>
                <w:color w:val="auto"/>
              </w:rPr>
              <w:t>362.8</w:t>
            </w:r>
          </w:p>
        </w:tc>
        <w:tc>
          <w:tcPr>
            <w:tcW w:w="1836" w:type="dxa"/>
            <w:vAlign w:val="center"/>
          </w:tcPr>
          <w:p w14:paraId="723C0328" w14:textId="77777777" w:rsidR="003F3B0B" w:rsidRPr="003F3B0B" w:rsidRDefault="003F3B0B" w:rsidP="007B70DB">
            <w:pPr>
              <w:pStyle w:val="Quote"/>
              <w:rPr>
                <w:color w:val="auto"/>
              </w:rPr>
            </w:pPr>
            <w:r w:rsidRPr="003F3B0B">
              <w:rPr>
                <w:color w:val="auto"/>
              </w:rPr>
              <w:t>Gas Lift</w:t>
            </w:r>
          </w:p>
        </w:tc>
        <w:tc>
          <w:tcPr>
            <w:tcW w:w="1648" w:type="dxa"/>
          </w:tcPr>
          <w:p w14:paraId="03521164" w14:textId="77777777" w:rsidR="003F3B0B" w:rsidRPr="003F3B0B" w:rsidRDefault="003F3B0B" w:rsidP="007B70DB">
            <w:pPr>
              <w:pStyle w:val="Quote"/>
              <w:rPr>
                <w:color w:val="auto"/>
              </w:rPr>
            </w:pPr>
            <w:r w:rsidRPr="003F3B0B">
              <w:rPr>
                <w:color w:val="auto"/>
              </w:rPr>
              <w:t>267</w:t>
            </w:r>
          </w:p>
        </w:tc>
        <w:tc>
          <w:tcPr>
            <w:tcW w:w="1661" w:type="dxa"/>
          </w:tcPr>
          <w:p w14:paraId="7E71E68B" w14:textId="77777777" w:rsidR="003F3B0B" w:rsidRPr="003F3B0B" w:rsidRDefault="003F3B0B" w:rsidP="007B70DB">
            <w:pPr>
              <w:pStyle w:val="Quote"/>
              <w:rPr>
                <w:color w:val="auto"/>
              </w:rPr>
            </w:pPr>
            <w:r w:rsidRPr="003F3B0B">
              <w:rPr>
                <w:color w:val="auto"/>
              </w:rPr>
              <w:t>27.5</w:t>
            </w:r>
          </w:p>
        </w:tc>
      </w:tr>
    </w:tbl>
    <w:p w14:paraId="70B2DD54" w14:textId="77777777" w:rsidR="003F3B0B" w:rsidRPr="003F3B0B" w:rsidRDefault="003F3B0B" w:rsidP="003F3B0B"/>
    <w:p w14:paraId="18E1CE7D" w14:textId="77777777" w:rsidR="003F3B0B" w:rsidRPr="003F3B0B" w:rsidRDefault="003F3B0B" w:rsidP="003F3B0B"/>
    <w:p w14:paraId="29BB4556" w14:textId="77777777" w:rsidR="003F3B0B" w:rsidRPr="003F3B0B" w:rsidRDefault="003F3B0B" w:rsidP="003F3B0B">
      <w:pPr>
        <w:pStyle w:val="Caption"/>
      </w:pPr>
      <w:proofErr w:type="gramStart"/>
      <w:r w:rsidRPr="003F3B0B">
        <w:t xml:space="preserve">Table </w:t>
      </w:r>
      <w:r w:rsidRPr="003F3B0B">
        <w:fldChar w:fldCharType="begin"/>
      </w:r>
      <w:r w:rsidRPr="003F3B0B">
        <w:instrText xml:space="preserve"> SEQ Table \* ARABIC </w:instrText>
      </w:r>
      <w:r w:rsidRPr="003F3B0B">
        <w:fldChar w:fldCharType="separate"/>
      </w:r>
      <w:r w:rsidRPr="003F3B0B">
        <w:rPr>
          <w:noProof/>
        </w:rPr>
        <w:t>2</w:t>
      </w:r>
      <w:r w:rsidRPr="003F3B0B">
        <w:rPr>
          <w:noProof/>
        </w:rPr>
        <w:fldChar w:fldCharType="end"/>
      </w:r>
      <w:r w:rsidRPr="003F3B0B">
        <w:t>.</w:t>
      </w:r>
      <w:proofErr w:type="gramEnd"/>
      <w:r w:rsidRPr="003F3B0B">
        <w:t xml:space="preserve"> </w:t>
      </w:r>
      <w:proofErr w:type="gramStart"/>
      <w:r w:rsidRPr="003F3B0B">
        <w:t>Riser geometrical data.</w:t>
      </w:r>
      <w:proofErr w:type="gramEnd"/>
    </w:p>
    <w:tbl>
      <w:tblPr>
        <w:tblStyle w:val="TableGrid"/>
        <w:tblW w:w="7694" w:type="dxa"/>
        <w:jc w:val="center"/>
        <w:tblInd w:w="36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0"/>
        <w:gridCol w:w="1701"/>
        <w:gridCol w:w="1701"/>
        <w:gridCol w:w="1668"/>
        <w:gridCol w:w="1284"/>
      </w:tblGrid>
      <w:tr w:rsidR="003F3B0B" w:rsidRPr="003F3B0B" w14:paraId="77839335" w14:textId="77777777" w:rsidTr="007B70DB">
        <w:trPr>
          <w:jc w:val="center"/>
        </w:trPr>
        <w:tc>
          <w:tcPr>
            <w:tcW w:w="1340" w:type="dxa"/>
            <w:tcBorders>
              <w:top w:val="single" w:sz="4" w:space="0" w:color="auto"/>
              <w:bottom w:val="single" w:sz="4" w:space="0" w:color="auto"/>
            </w:tcBorders>
            <w:vAlign w:val="center"/>
          </w:tcPr>
          <w:p w14:paraId="105FC95D" w14:textId="77777777" w:rsidR="003F3B0B" w:rsidRPr="003F3B0B" w:rsidRDefault="003F3B0B" w:rsidP="007B70DB">
            <w:pPr>
              <w:pStyle w:val="Quote"/>
              <w:rPr>
                <w:color w:val="auto"/>
              </w:rPr>
            </w:pPr>
            <w:r w:rsidRPr="003F3B0B">
              <w:rPr>
                <w:color w:val="auto"/>
              </w:rPr>
              <w:t>Riser</w:t>
            </w:r>
          </w:p>
        </w:tc>
        <w:tc>
          <w:tcPr>
            <w:tcW w:w="1701" w:type="dxa"/>
            <w:tcBorders>
              <w:top w:val="single" w:sz="4" w:space="0" w:color="auto"/>
              <w:bottom w:val="single" w:sz="4" w:space="0" w:color="auto"/>
            </w:tcBorders>
            <w:vAlign w:val="center"/>
          </w:tcPr>
          <w:p w14:paraId="45BCB573" w14:textId="77777777" w:rsidR="003F3B0B" w:rsidRPr="003F3B0B" w:rsidRDefault="003F3B0B" w:rsidP="007B70DB">
            <w:pPr>
              <w:pStyle w:val="Quote"/>
              <w:rPr>
                <w:color w:val="auto"/>
              </w:rPr>
            </w:pPr>
            <w:r w:rsidRPr="003F3B0B">
              <w:rPr>
                <w:color w:val="auto"/>
              </w:rPr>
              <w:t xml:space="preserve">Bending stiffness, </w:t>
            </w:r>
            <w:r w:rsidRPr="003F3B0B">
              <w:rPr>
                <w:i/>
                <w:color w:val="auto"/>
              </w:rPr>
              <w:t>EI</w:t>
            </w:r>
            <w:r w:rsidRPr="003F3B0B">
              <w:rPr>
                <w:color w:val="auto"/>
              </w:rPr>
              <w:t xml:space="preserve"> (Nm</w:t>
            </w:r>
            <w:r w:rsidRPr="003F3B0B">
              <w:rPr>
                <w:color w:val="auto"/>
                <w:vertAlign w:val="superscript"/>
              </w:rPr>
              <w:t>2</w:t>
            </w:r>
            <w:r w:rsidRPr="003F3B0B">
              <w:rPr>
                <w:color w:val="auto"/>
              </w:rPr>
              <w:t>)</w:t>
            </w:r>
          </w:p>
        </w:tc>
        <w:tc>
          <w:tcPr>
            <w:tcW w:w="1701" w:type="dxa"/>
            <w:tcBorders>
              <w:top w:val="single" w:sz="4" w:space="0" w:color="auto"/>
              <w:bottom w:val="single" w:sz="4" w:space="0" w:color="auto"/>
            </w:tcBorders>
            <w:vAlign w:val="center"/>
          </w:tcPr>
          <w:p w14:paraId="7389CD3F" w14:textId="77777777" w:rsidR="003F3B0B" w:rsidRPr="003F3B0B" w:rsidRDefault="003F3B0B" w:rsidP="007B70DB">
            <w:pPr>
              <w:pStyle w:val="Quote"/>
              <w:rPr>
                <w:color w:val="auto"/>
              </w:rPr>
            </w:pPr>
            <w:r w:rsidRPr="003F3B0B">
              <w:rPr>
                <w:color w:val="auto"/>
              </w:rPr>
              <w:t>Torsional stiffness,</w:t>
            </w:r>
            <w:r w:rsidRPr="003F3B0B">
              <w:rPr>
                <w:i/>
                <w:color w:val="auto"/>
              </w:rPr>
              <w:t xml:space="preserve"> GJ</w:t>
            </w:r>
            <w:r w:rsidRPr="003F3B0B">
              <w:rPr>
                <w:color w:val="auto"/>
              </w:rPr>
              <w:t xml:space="preserve"> (Nm</w:t>
            </w:r>
            <w:r w:rsidRPr="003F3B0B">
              <w:rPr>
                <w:color w:val="auto"/>
                <w:vertAlign w:val="superscript"/>
              </w:rPr>
              <w:t>2</w:t>
            </w:r>
            <w:r w:rsidRPr="003F3B0B">
              <w:rPr>
                <w:color w:val="auto"/>
              </w:rPr>
              <w:t>)</w:t>
            </w:r>
          </w:p>
        </w:tc>
        <w:tc>
          <w:tcPr>
            <w:tcW w:w="1668" w:type="dxa"/>
            <w:tcBorders>
              <w:top w:val="single" w:sz="4" w:space="0" w:color="auto"/>
              <w:bottom w:val="single" w:sz="4" w:space="0" w:color="auto"/>
            </w:tcBorders>
            <w:vAlign w:val="center"/>
          </w:tcPr>
          <w:p w14:paraId="0893ED3D" w14:textId="77777777" w:rsidR="003F3B0B" w:rsidRPr="003F3B0B" w:rsidRDefault="003F3B0B" w:rsidP="007B70DB">
            <w:pPr>
              <w:pStyle w:val="Quote"/>
              <w:rPr>
                <w:color w:val="auto"/>
              </w:rPr>
            </w:pPr>
            <w:r w:rsidRPr="003F3B0B">
              <w:rPr>
                <w:color w:val="auto"/>
              </w:rPr>
              <w:t>Axial stiffness,</w:t>
            </w:r>
            <w:r w:rsidRPr="003F3B0B">
              <w:rPr>
                <w:i/>
                <w:color w:val="auto"/>
              </w:rPr>
              <w:t xml:space="preserve"> EA</w:t>
            </w:r>
            <w:r w:rsidRPr="003F3B0B">
              <w:rPr>
                <w:color w:val="auto"/>
              </w:rPr>
              <w:t xml:space="preserve"> (N)</w:t>
            </w:r>
          </w:p>
        </w:tc>
        <w:tc>
          <w:tcPr>
            <w:tcW w:w="1284" w:type="dxa"/>
            <w:tcBorders>
              <w:top w:val="single" w:sz="4" w:space="0" w:color="auto"/>
              <w:bottom w:val="single" w:sz="4" w:space="0" w:color="auto"/>
            </w:tcBorders>
            <w:vAlign w:val="center"/>
          </w:tcPr>
          <w:p w14:paraId="2E0100AC" w14:textId="77777777" w:rsidR="003F3B0B" w:rsidRPr="003F3B0B" w:rsidRDefault="003F3B0B" w:rsidP="007B70DB">
            <w:pPr>
              <w:pStyle w:val="Quote"/>
              <w:rPr>
                <w:color w:val="auto"/>
              </w:rPr>
            </w:pPr>
            <w:r w:rsidRPr="003F3B0B">
              <w:rPr>
                <w:color w:val="auto"/>
              </w:rPr>
              <w:t>Mass (</w:t>
            </w:r>
            <w:proofErr w:type="spellStart"/>
            <w:r w:rsidRPr="003F3B0B">
              <w:rPr>
                <w:color w:val="auto"/>
              </w:rPr>
              <w:t>kgf</w:t>
            </w:r>
            <w:proofErr w:type="spellEnd"/>
            <w:r w:rsidRPr="003F3B0B">
              <w:rPr>
                <w:color w:val="auto"/>
              </w:rPr>
              <w:t>/m)</w:t>
            </w:r>
          </w:p>
        </w:tc>
      </w:tr>
      <w:tr w:rsidR="003F3B0B" w:rsidRPr="003F3B0B" w14:paraId="1C819CB1" w14:textId="77777777" w:rsidTr="007B70DB">
        <w:trPr>
          <w:jc w:val="center"/>
        </w:trPr>
        <w:tc>
          <w:tcPr>
            <w:tcW w:w="1340" w:type="dxa"/>
          </w:tcPr>
          <w:p w14:paraId="0DB35876" w14:textId="77777777" w:rsidR="003F3B0B" w:rsidRPr="003F3B0B" w:rsidRDefault="003F3B0B" w:rsidP="007B70DB">
            <w:pPr>
              <w:pStyle w:val="Quote"/>
              <w:rPr>
                <w:color w:val="auto"/>
              </w:rPr>
            </w:pPr>
            <w:r w:rsidRPr="003F3B0B">
              <w:rPr>
                <w:color w:val="auto"/>
              </w:rPr>
              <w:t>11 inch</w:t>
            </w:r>
          </w:p>
        </w:tc>
        <w:tc>
          <w:tcPr>
            <w:tcW w:w="1701" w:type="dxa"/>
            <w:vAlign w:val="center"/>
          </w:tcPr>
          <w:p w14:paraId="34555240" w14:textId="77777777" w:rsidR="003F3B0B" w:rsidRPr="003F3B0B" w:rsidRDefault="003F3B0B" w:rsidP="007B70DB">
            <w:pPr>
              <w:pStyle w:val="Quote"/>
              <w:rPr>
                <w:color w:val="auto"/>
              </w:rPr>
            </w:pPr>
            <w:r w:rsidRPr="003F3B0B">
              <w:rPr>
                <w:color w:val="auto"/>
              </w:rPr>
              <w:t>1.34 × 10</w:t>
            </w:r>
            <w:r w:rsidRPr="003F3B0B">
              <w:rPr>
                <w:color w:val="auto"/>
                <w:vertAlign w:val="superscript"/>
              </w:rPr>
              <w:t>5</w:t>
            </w:r>
          </w:p>
        </w:tc>
        <w:tc>
          <w:tcPr>
            <w:tcW w:w="1701" w:type="dxa"/>
            <w:vAlign w:val="center"/>
          </w:tcPr>
          <w:p w14:paraId="4841419C" w14:textId="77777777" w:rsidR="003F3B0B" w:rsidRPr="003F3B0B" w:rsidRDefault="003F3B0B" w:rsidP="007B70DB">
            <w:pPr>
              <w:pStyle w:val="Quote"/>
              <w:rPr>
                <w:color w:val="auto"/>
              </w:rPr>
            </w:pPr>
            <w:r w:rsidRPr="003F3B0B">
              <w:rPr>
                <w:color w:val="auto"/>
              </w:rPr>
              <w:t>1.34 × 10</w:t>
            </w:r>
            <w:r w:rsidRPr="003F3B0B">
              <w:rPr>
                <w:color w:val="auto"/>
                <w:vertAlign w:val="superscript"/>
              </w:rPr>
              <w:t>6</w:t>
            </w:r>
          </w:p>
        </w:tc>
        <w:tc>
          <w:tcPr>
            <w:tcW w:w="1668" w:type="dxa"/>
          </w:tcPr>
          <w:p w14:paraId="0A7EC7C8" w14:textId="77777777" w:rsidR="003F3B0B" w:rsidRPr="003F3B0B" w:rsidRDefault="003F3B0B" w:rsidP="007B70DB">
            <w:pPr>
              <w:pStyle w:val="Quote"/>
              <w:rPr>
                <w:color w:val="auto"/>
              </w:rPr>
            </w:pPr>
            <w:r w:rsidRPr="003F3B0B">
              <w:rPr>
                <w:color w:val="auto"/>
              </w:rPr>
              <w:t>1.25 × 10</w:t>
            </w:r>
            <w:r w:rsidRPr="003F3B0B">
              <w:rPr>
                <w:color w:val="auto"/>
                <w:vertAlign w:val="superscript"/>
              </w:rPr>
              <w:t>9</w:t>
            </w:r>
          </w:p>
        </w:tc>
        <w:tc>
          <w:tcPr>
            <w:tcW w:w="1284" w:type="dxa"/>
          </w:tcPr>
          <w:p w14:paraId="3CC2E96C" w14:textId="77777777" w:rsidR="003F3B0B" w:rsidRPr="003F3B0B" w:rsidRDefault="003F3B0B" w:rsidP="007B70DB">
            <w:pPr>
              <w:pStyle w:val="Quote"/>
              <w:rPr>
                <w:color w:val="auto"/>
              </w:rPr>
            </w:pPr>
            <w:r w:rsidRPr="003F3B0B">
              <w:rPr>
                <w:color w:val="auto"/>
              </w:rPr>
              <w:t>279</w:t>
            </w:r>
          </w:p>
        </w:tc>
      </w:tr>
      <w:tr w:rsidR="003F3B0B" w:rsidRPr="003F3B0B" w14:paraId="5AFD5444" w14:textId="77777777" w:rsidTr="007B70DB">
        <w:trPr>
          <w:jc w:val="center"/>
        </w:trPr>
        <w:tc>
          <w:tcPr>
            <w:tcW w:w="1340" w:type="dxa"/>
          </w:tcPr>
          <w:p w14:paraId="3364FE94" w14:textId="77777777" w:rsidR="003F3B0B" w:rsidRPr="003F3B0B" w:rsidRDefault="003F3B0B" w:rsidP="007B70DB">
            <w:pPr>
              <w:pStyle w:val="Quote"/>
              <w:rPr>
                <w:color w:val="auto"/>
              </w:rPr>
            </w:pPr>
            <w:r w:rsidRPr="003F3B0B">
              <w:rPr>
                <w:color w:val="auto"/>
              </w:rPr>
              <w:t>9 inch</w:t>
            </w:r>
          </w:p>
        </w:tc>
        <w:tc>
          <w:tcPr>
            <w:tcW w:w="1701" w:type="dxa"/>
            <w:vAlign w:val="center"/>
          </w:tcPr>
          <w:p w14:paraId="44874A28" w14:textId="77777777" w:rsidR="003F3B0B" w:rsidRPr="003F3B0B" w:rsidRDefault="003F3B0B" w:rsidP="007B70DB">
            <w:pPr>
              <w:pStyle w:val="Quote"/>
              <w:rPr>
                <w:color w:val="auto"/>
              </w:rPr>
            </w:pPr>
            <w:r w:rsidRPr="003F3B0B">
              <w:rPr>
                <w:color w:val="auto"/>
              </w:rPr>
              <w:t>3.71 × 10</w:t>
            </w:r>
            <w:r w:rsidRPr="003F3B0B">
              <w:rPr>
                <w:color w:val="auto"/>
                <w:vertAlign w:val="superscript"/>
              </w:rPr>
              <w:t>4</w:t>
            </w:r>
          </w:p>
        </w:tc>
        <w:tc>
          <w:tcPr>
            <w:tcW w:w="1701" w:type="dxa"/>
            <w:vAlign w:val="center"/>
          </w:tcPr>
          <w:p w14:paraId="1534CAEF" w14:textId="77777777" w:rsidR="003F3B0B" w:rsidRPr="003F3B0B" w:rsidRDefault="003F3B0B" w:rsidP="007B70DB">
            <w:pPr>
              <w:pStyle w:val="Quote"/>
              <w:rPr>
                <w:color w:val="auto"/>
              </w:rPr>
            </w:pPr>
            <w:r w:rsidRPr="003F3B0B">
              <w:rPr>
                <w:color w:val="auto"/>
              </w:rPr>
              <w:t>3.71 × 10</w:t>
            </w:r>
            <w:r w:rsidRPr="003F3B0B">
              <w:rPr>
                <w:color w:val="auto"/>
                <w:vertAlign w:val="superscript"/>
              </w:rPr>
              <w:t>5</w:t>
            </w:r>
          </w:p>
        </w:tc>
        <w:tc>
          <w:tcPr>
            <w:tcW w:w="1668" w:type="dxa"/>
          </w:tcPr>
          <w:p w14:paraId="2559E39B" w14:textId="77777777" w:rsidR="003F3B0B" w:rsidRPr="003F3B0B" w:rsidRDefault="003F3B0B" w:rsidP="007B70DB">
            <w:pPr>
              <w:pStyle w:val="Quote"/>
              <w:rPr>
                <w:color w:val="auto"/>
              </w:rPr>
            </w:pPr>
            <w:r w:rsidRPr="003F3B0B">
              <w:rPr>
                <w:color w:val="auto"/>
              </w:rPr>
              <w:t>9.52 × 10</w:t>
            </w:r>
            <w:r w:rsidRPr="003F3B0B">
              <w:rPr>
                <w:color w:val="auto"/>
                <w:vertAlign w:val="superscript"/>
              </w:rPr>
              <w:t>8</w:t>
            </w:r>
          </w:p>
        </w:tc>
        <w:tc>
          <w:tcPr>
            <w:tcW w:w="1284" w:type="dxa"/>
          </w:tcPr>
          <w:p w14:paraId="047D6E4E" w14:textId="77777777" w:rsidR="003F3B0B" w:rsidRPr="003F3B0B" w:rsidRDefault="003F3B0B" w:rsidP="007B70DB">
            <w:pPr>
              <w:pStyle w:val="Quote"/>
              <w:rPr>
                <w:color w:val="auto"/>
              </w:rPr>
            </w:pPr>
            <w:r w:rsidRPr="003F3B0B">
              <w:rPr>
                <w:color w:val="auto"/>
              </w:rPr>
              <w:t>208</w:t>
            </w:r>
          </w:p>
        </w:tc>
      </w:tr>
      <w:tr w:rsidR="003F3B0B" w:rsidRPr="003F3B0B" w14:paraId="3C9A4221" w14:textId="77777777" w:rsidTr="007B70DB">
        <w:trPr>
          <w:jc w:val="center"/>
        </w:trPr>
        <w:tc>
          <w:tcPr>
            <w:tcW w:w="1340" w:type="dxa"/>
            <w:vAlign w:val="center"/>
          </w:tcPr>
          <w:p w14:paraId="43969BCE" w14:textId="77777777" w:rsidR="003F3B0B" w:rsidRPr="003F3B0B" w:rsidRDefault="003F3B0B" w:rsidP="007B70DB">
            <w:pPr>
              <w:pStyle w:val="Quote"/>
              <w:rPr>
                <w:color w:val="auto"/>
              </w:rPr>
            </w:pPr>
            <w:r w:rsidRPr="003F3B0B">
              <w:rPr>
                <w:color w:val="auto"/>
              </w:rPr>
              <w:t>6 inch</w:t>
            </w:r>
          </w:p>
        </w:tc>
        <w:tc>
          <w:tcPr>
            <w:tcW w:w="1701" w:type="dxa"/>
            <w:vAlign w:val="center"/>
          </w:tcPr>
          <w:p w14:paraId="03E40548" w14:textId="77777777" w:rsidR="003F3B0B" w:rsidRPr="003F3B0B" w:rsidRDefault="003F3B0B" w:rsidP="007B70DB">
            <w:pPr>
              <w:pStyle w:val="Quote"/>
              <w:rPr>
                <w:color w:val="auto"/>
              </w:rPr>
            </w:pPr>
            <w:r w:rsidRPr="003F3B0B">
              <w:rPr>
                <w:color w:val="auto"/>
              </w:rPr>
              <w:t>4.91 × 10</w:t>
            </w:r>
            <w:r w:rsidRPr="003F3B0B">
              <w:rPr>
                <w:color w:val="auto"/>
                <w:vertAlign w:val="superscript"/>
              </w:rPr>
              <w:t>4</w:t>
            </w:r>
            <w:r w:rsidRPr="003F3B0B">
              <w:rPr>
                <w:color w:val="auto"/>
              </w:rPr>
              <w:t xml:space="preserve"> </w:t>
            </w:r>
          </w:p>
        </w:tc>
        <w:tc>
          <w:tcPr>
            <w:tcW w:w="1701" w:type="dxa"/>
            <w:vAlign w:val="center"/>
          </w:tcPr>
          <w:p w14:paraId="5DAB4DA8" w14:textId="77777777" w:rsidR="003F3B0B" w:rsidRPr="003F3B0B" w:rsidRDefault="003F3B0B" w:rsidP="007B70DB">
            <w:pPr>
              <w:pStyle w:val="Quote"/>
              <w:rPr>
                <w:color w:val="auto"/>
              </w:rPr>
            </w:pPr>
            <w:r w:rsidRPr="003F3B0B">
              <w:rPr>
                <w:color w:val="auto"/>
              </w:rPr>
              <w:t>4.91 × 10</w:t>
            </w:r>
            <w:r w:rsidRPr="003F3B0B">
              <w:rPr>
                <w:color w:val="auto"/>
                <w:vertAlign w:val="superscript"/>
              </w:rPr>
              <w:t>5</w:t>
            </w:r>
          </w:p>
        </w:tc>
        <w:tc>
          <w:tcPr>
            <w:tcW w:w="1668" w:type="dxa"/>
            <w:vAlign w:val="center"/>
          </w:tcPr>
          <w:p w14:paraId="0FCF1035" w14:textId="77777777" w:rsidR="003F3B0B" w:rsidRPr="003F3B0B" w:rsidRDefault="003F3B0B" w:rsidP="007B70DB">
            <w:pPr>
              <w:pStyle w:val="Quote"/>
              <w:rPr>
                <w:color w:val="auto"/>
              </w:rPr>
            </w:pPr>
            <w:r w:rsidRPr="003F3B0B">
              <w:rPr>
                <w:color w:val="auto"/>
              </w:rPr>
              <w:t>6.62 × 10</w:t>
            </w:r>
            <w:r w:rsidRPr="003F3B0B">
              <w:rPr>
                <w:color w:val="auto"/>
                <w:vertAlign w:val="superscript"/>
              </w:rPr>
              <w:t>8</w:t>
            </w:r>
          </w:p>
        </w:tc>
        <w:tc>
          <w:tcPr>
            <w:tcW w:w="1284" w:type="dxa"/>
            <w:vAlign w:val="center"/>
          </w:tcPr>
          <w:p w14:paraId="15AD837E" w14:textId="77777777" w:rsidR="003F3B0B" w:rsidRPr="003F3B0B" w:rsidRDefault="003F3B0B" w:rsidP="007B70DB">
            <w:pPr>
              <w:pStyle w:val="Quote"/>
              <w:rPr>
                <w:color w:val="auto"/>
              </w:rPr>
            </w:pPr>
            <w:r w:rsidRPr="003F3B0B">
              <w:rPr>
                <w:color w:val="auto"/>
              </w:rPr>
              <w:t>165</w:t>
            </w:r>
          </w:p>
        </w:tc>
      </w:tr>
    </w:tbl>
    <w:p w14:paraId="04E7BF2A" w14:textId="77777777" w:rsidR="003F3B0B" w:rsidRPr="003F3B0B" w:rsidRDefault="003F3B0B" w:rsidP="003F3B0B"/>
    <w:p w14:paraId="499D5332" w14:textId="77777777" w:rsidR="003F3B0B" w:rsidRPr="003F3B0B" w:rsidRDefault="003F3B0B" w:rsidP="003F3B0B">
      <w:pPr>
        <w:spacing w:after="200" w:line="276" w:lineRule="auto"/>
        <w:jc w:val="left"/>
      </w:pPr>
      <w:r w:rsidRPr="003F3B0B">
        <w:rPr>
          <w:iCs/>
        </w:rPr>
        <w:br w:type="page"/>
      </w:r>
    </w:p>
    <w:p w14:paraId="338D940F" w14:textId="77777777" w:rsidR="003F3B0B" w:rsidRPr="003F3B0B" w:rsidRDefault="003F3B0B" w:rsidP="003F3B0B">
      <w:pPr>
        <w:pStyle w:val="Caption"/>
      </w:pPr>
      <w:proofErr w:type="gramStart"/>
      <w:r w:rsidRPr="003F3B0B">
        <w:lastRenderedPageBreak/>
        <w:t xml:space="preserve">Table </w:t>
      </w:r>
      <w:r w:rsidRPr="003F3B0B">
        <w:fldChar w:fldCharType="begin"/>
      </w:r>
      <w:r w:rsidRPr="003F3B0B">
        <w:instrText xml:space="preserve"> SEQ Table \* ARABIC </w:instrText>
      </w:r>
      <w:r w:rsidRPr="003F3B0B">
        <w:fldChar w:fldCharType="separate"/>
      </w:r>
      <w:r w:rsidRPr="003F3B0B">
        <w:rPr>
          <w:noProof/>
        </w:rPr>
        <w:t>3</w:t>
      </w:r>
      <w:r w:rsidRPr="003F3B0B">
        <w:rPr>
          <w:noProof/>
        </w:rPr>
        <w:fldChar w:fldCharType="end"/>
      </w:r>
      <w:r w:rsidRPr="003F3B0B">
        <w:t>.</w:t>
      </w:r>
      <w:proofErr w:type="gramEnd"/>
      <w:r w:rsidRPr="003F3B0B">
        <w:t xml:space="preserve"> </w:t>
      </w:r>
      <w:proofErr w:type="gramStart"/>
      <w:r w:rsidRPr="003F3B0B">
        <w:t>Definition of regular wave load-cases for design study.</w:t>
      </w:r>
      <w:proofErr w:type="gramEnd"/>
    </w:p>
    <w:tbl>
      <w:tblPr>
        <w:tblStyle w:val="TableGrid"/>
        <w:tblW w:w="5387"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2126"/>
        <w:gridCol w:w="1843"/>
      </w:tblGrid>
      <w:tr w:rsidR="003F3B0B" w:rsidRPr="003F3B0B" w14:paraId="641ECC33" w14:textId="77777777" w:rsidTr="007B70DB">
        <w:trPr>
          <w:jc w:val="center"/>
        </w:trPr>
        <w:tc>
          <w:tcPr>
            <w:tcW w:w="1418" w:type="dxa"/>
            <w:tcBorders>
              <w:top w:val="single" w:sz="4" w:space="0" w:color="auto"/>
              <w:bottom w:val="single" w:sz="4" w:space="0" w:color="auto"/>
            </w:tcBorders>
            <w:vAlign w:val="center"/>
          </w:tcPr>
          <w:p w14:paraId="5975D6B1" w14:textId="77777777" w:rsidR="003F3B0B" w:rsidRPr="003F3B0B" w:rsidRDefault="003F3B0B" w:rsidP="007B70DB">
            <w:pPr>
              <w:pStyle w:val="Quote"/>
              <w:rPr>
                <w:color w:val="auto"/>
              </w:rPr>
            </w:pPr>
            <w:r w:rsidRPr="003F3B0B">
              <w:rPr>
                <w:color w:val="auto"/>
              </w:rPr>
              <w:t>Load case</w:t>
            </w:r>
          </w:p>
        </w:tc>
        <w:tc>
          <w:tcPr>
            <w:tcW w:w="2126" w:type="dxa"/>
            <w:tcBorders>
              <w:top w:val="single" w:sz="4" w:space="0" w:color="auto"/>
              <w:bottom w:val="single" w:sz="4" w:space="0" w:color="auto"/>
            </w:tcBorders>
            <w:vAlign w:val="center"/>
          </w:tcPr>
          <w:p w14:paraId="18BA3CF0" w14:textId="77777777" w:rsidR="003F3B0B" w:rsidRPr="003F3B0B" w:rsidRDefault="003F3B0B" w:rsidP="007B70DB">
            <w:pPr>
              <w:pStyle w:val="Quote"/>
              <w:rPr>
                <w:color w:val="auto"/>
              </w:rPr>
            </w:pPr>
            <w:r w:rsidRPr="003F3B0B">
              <w:rPr>
                <w:color w:val="auto"/>
              </w:rPr>
              <w:t>Wave height (m)</w:t>
            </w:r>
          </w:p>
        </w:tc>
        <w:tc>
          <w:tcPr>
            <w:tcW w:w="1843" w:type="dxa"/>
            <w:tcBorders>
              <w:top w:val="single" w:sz="4" w:space="0" w:color="auto"/>
              <w:bottom w:val="single" w:sz="4" w:space="0" w:color="auto"/>
            </w:tcBorders>
            <w:vAlign w:val="center"/>
          </w:tcPr>
          <w:p w14:paraId="3BC08799" w14:textId="77777777" w:rsidR="003F3B0B" w:rsidRPr="003F3B0B" w:rsidRDefault="003F3B0B" w:rsidP="007B70DB">
            <w:pPr>
              <w:pStyle w:val="Quote"/>
              <w:rPr>
                <w:color w:val="auto"/>
              </w:rPr>
            </w:pPr>
            <w:r w:rsidRPr="003F3B0B">
              <w:rPr>
                <w:color w:val="auto"/>
              </w:rPr>
              <w:t>Wave period (s)</w:t>
            </w:r>
          </w:p>
        </w:tc>
      </w:tr>
      <w:tr w:rsidR="003F3B0B" w:rsidRPr="003F3B0B" w14:paraId="4181B93E" w14:textId="77777777" w:rsidTr="007B70DB">
        <w:trPr>
          <w:jc w:val="center"/>
        </w:trPr>
        <w:tc>
          <w:tcPr>
            <w:tcW w:w="1418" w:type="dxa"/>
            <w:tcBorders>
              <w:top w:val="single" w:sz="4" w:space="0" w:color="auto"/>
            </w:tcBorders>
            <w:vAlign w:val="center"/>
          </w:tcPr>
          <w:p w14:paraId="0C8CB5A5" w14:textId="77777777" w:rsidR="003F3B0B" w:rsidRPr="003F3B0B" w:rsidRDefault="003F3B0B" w:rsidP="007B70DB">
            <w:pPr>
              <w:pStyle w:val="Quote"/>
              <w:rPr>
                <w:color w:val="auto"/>
              </w:rPr>
            </w:pPr>
            <w:r w:rsidRPr="003F3B0B">
              <w:rPr>
                <w:color w:val="auto"/>
              </w:rPr>
              <w:t>1</w:t>
            </w:r>
          </w:p>
        </w:tc>
        <w:tc>
          <w:tcPr>
            <w:tcW w:w="2126" w:type="dxa"/>
            <w:tcBorders>
              <w:top w:val="single" w:sz="4" w:space="0" w:color="auto"/>
            </w:tcBorders>
            <w:vAlign w:val="center"/>
          </w:tcPr>
          <w:p w14:paraId="0D212AC0" w14:textId="77777777" w:rsidR="003F3B0B" w:rsidRPr="003F3B0B" w:rsidRDefault="003F3B0B" w:rsidP="007B70DB">
            <w:pPr>
              <w:pStyle w:val="Quote"/>
              <w:rPr>
                <w:color w:val="auto"/>
              </w:rPr>
            </w:pPr>
            <w:r w:rsidRPr="003F3B0B">
              <w:rPr>
                <w:color w:val="auto"/>
              </w:rPr>
              <w:t>2.78</w:t>
            </w:r>
          </w:p>
        </w:tc>
        <w:tc>
          <w:tcPr>
            <w:tcW w:w="1843" w:type="dxa"/>
            <w:tcBorders>
              <w:top w:val="single" w:sz="4" w:space="0" w:color="auto"/>
            </w:tcBorders>
            <w:vAlign w:val="center"/>
          </w:tcPr>
          <w:p w14:paraId="4C71B6E1" w14:textId="77777777" w:rsidR="003F3B0B" w:rsidRPr="003F3B0B" w:rsidRDefault="003F3B0B" w:rsidP="007B70DB">
            <w:pPr>
              <w:pStyle w:val="Quote"/>
              <w:rPr>
                <w:color w:val="auto"/>
              </w:rPr>
            </w:pPr>
            <w:r w:rsidRPr="003F3B0B">
              <w:rPr>
                <w:color w:val="auto"/>
              </w:rPr>
              <w:t>11.5</w:t>
            </w:r>
          </w:p>
        </w:tc>
      </w:tr>
      <w:tr w:rsidR="003F3B0B" w:rsidRPr="003F3B0B" w14:paraId="3C65B934" w14:textId="77777777" w:rsidTr="007B70DB">
        <w:trPr>
          <w:jc w:val="center"/>
        </w:trPr>
        <w:tc>
          <w:tcPr>
            <w:tcW w:w="1418" w:type="dxa"/>
            <w:vAlign w:val="center"/>
          </w:tcPr>
          <w:p w14:paraId="28AC61C2" w14:textId="77777777" w:rsidR="003F3B0B" w:rsidRPr="003F3B0B" w:rsidRDefault="003F3B0B" w:rsidP="007B70DB">
            <w:pPr>
              <w:pStyle w:val="Quote"/>
              <w:rPr>
                <w:color w:val="auto"/>
              </w:rPr>
            </w:pPr>
            <w:r w:rsidRPr="003F3B0B">
              <w:rPr>
                <w:color w:val="auto"/>
              </w:rPr>
              <w:t>2</w:t>
            </w:r>
          </w:p>
        </w:tc>
        <w:tc>
          <w:tcPr>
            <w:tcW w:w="2126" w:type="dxa"/>
            <w:vAlign w:val="center"/>
          </w:tcPr>
          <w:p w14:paraId="782F07F8" w14:textId="77777777" w:rsidR="003F3B0B" w:rsidRPr="003F3B0B" w:rsidRDefault="003F3B0B" w:rsidP="007B70DB">
            <w:pPr>
              <w:pStyle w:val="Quote"/>
              <w:rPr>
                <w:color w:val="auto"/>
              </w:rPr>
            </w:pPr>
            <w:r w:rsidRPr="003F3B0B">
              <w:rPr>
                <w:color w:val="auto"/>
              </w:rPr>
              <w:t>2.36</w:t>
            </w:r>
          </w:p>
        </w:tc>
        <w:tc>
          <w:tcPr>
            <w:tcW w:w="1843" w:type="dxa"/>
            <w:vAlign w:val="center"/>
          </w:tcPr>
          <w:p w14:paraId="3F51B3A6" w14:textId="77777777" w:rsidR="003F3B0B" w:rsidRPr="003F3B0B" w:rsidRDefault="003F3B0B" w:rsidP="007B70DB">
            <w:pPr>
              <w:pStyle w:val="Quote"/>
              <w:rPr>
                <w:color w:val="auto"/>
              </w:rPr>
            </w:pPr>
            <w:r w:rsidRPr="003F3B0B">
              <w:rPr>
                <w:color w:val="auto"/>
              </w:rPr>
              <w:t>10.54</w:t>
            </w:r>
          </w:p>
        </w:tc>
      </w:tr>
      <w:tr w:rsidR="003F3B0B" w:rsidRPr="003F3B0B" w14:paraId="50A3B3CA" w14:textId="77777777" w:rsidTr="007B70DB">
        <w:trPr>
          <w:jc w:val="center"/>
        </w:trPr>
        <w:tc>
          <w:tcPr>
            <w:tcW w:w="1418" w:type="dxa"/>
            <w:vAlign w:val="center"/>
          </w:tcPr>
          <w:p w14:paraId="257EC7D3" w14:textId="77777777" w:rsidR="003F3B0B" w:rsidRPr="003F3B0B" w:rsidRDefault="003F3B0B" w:rsidP="007B70DB">
            <w:pPr>
              <w:pStyle w:val="Quote"/>
              <w:rPr>
                <w:color w:val="auto"/>
              </w:rPr>
            </w:pPr>
            <w:r w:rsidRPr="003F3B0B">
              <w:rPr>
                <w:color w:val="auto"/>
              </w:rPr>
              <w:t>3</w:t>
            </w:r>
          </w:p>
        </w:tc>
        <w:tc>
          <w:tcPr>
            <w:tcW w:w="2126" w:type="dxa"/>
            <w:vAlign w:val="center"/>
          </w:tcPr>
          <w:p w14:paraId="0BC4AB85" w14:textId="77777777" w:rsidR="003F3B0B" w:rsidRPr="003F3B0B" w:rsidRDefault="003F3B0B" w:rsidP="007B70DB">
            <w:pPr>
              <w:pStyle w:val="Quote"/>
              <w:rPr>
                <w:color w:val="auto"/>
              </w:rPr>
            </w:pPr>
            <w:r w:rsidRPr="003F3B0B">
              <w:rPr>
                <w:color w:val="auto"/>
              </w:rPr>
              <w:t>2.78</w:t>
            </w:r>
          </w:p>
        </w:tc>
        <w:tc>
          <w:tcPr>
            <w:tcW w:w="1843" w:type="dxa"/>
            <w:vAlign w:val="center"/>
          </w:tcPr>
          <w:p w14:paraId="12F4B3D5" w14:textId="77777777" w:rsidR="003F3B0B" w:rsidRPr="003F3B0B" w:rsidRDefault="003F3B0B" w:rsidP="007B70DB">
            <w:pPr>
              <w:pStyle w:val="Quote"/>
              <w:rPr>
                <w:color w:val="auto"/>
              </w:rPr>
            </w:pPr>
            <w:r w:rsidRPr="003F3B0B">
              <w:rPr>
                <w:color w:val="auto"/>
              </w:rPr>
              <w:t>11.65</w:t>
            </w:r>
          </w:p>
        </w:tc>
      </w:tr>
      <w:tr w:rsidR="003F3B0B" w:rsidRPr="003F3B0B" w14:paraId="4F664E20" w14:textId="77777777" w:rsidTr="007B70DB">
        <w:trPr>
          <w:jc w:val="center"/>
        </w:trPr>
        <w:tc>
          <w:tcPr>
            <w:tcW w:w="1418" w:type="dxa"/>
            <w:vAlign w:val="center"/>
          </w:tcPr>
          <w:p w14:paraId="33353C2D" w14:textId="77777777" w:rsidR="003F3B0B" w:rsidRPr="003F3B0B" w:rsidRDefault="003F3B0B" w:rsidP="007B70DB">
            <w:pPr>
              <w:pStyle w:val="Quote"/>
              <w:rPr>
                <w:color w:val="auto"/>
              </w:rPr>
            </w:pPr>
            <w:r w:rsidRPr="003F3B0B">
              <w:rPr>
                <w:color w:val="auto"/>
              </w:rPr>
              <w:t>4</w:t>
            </w:r>
          </w:p>
        </w:tc>
        <w:tc>
          <w:tcPr>
            <w:tcW w:w="2126" w:type="dxa"/>
            <w:vAlign w:val="center"/>
          </w:tcPr>
          <w:p w14:paraId="1C52647D" w14:textId="77777777" w:rsidR="003F3B0B" w:rsidRPr="003F3B0B" w:rsidRDefault="003F3B0B" w:rsidP="007B70DB">
            <w:pPr>
              <w:pStyle w:val="Quote"/>
              <w:rPr>
                <w:color w:val="auto"/>
              </w:rPr>
            </w:pPr>
            <w:r w:rsidRPr="003F3B0B">
              <w:rPr>
                <w:color w:val="auto"/>
              </w:rPr>
              <w:t>1.74</w:t>
            </w:r>
          </w:p>
        </w:tc>
        <w:tc>
          <w:tcPr>
            <w:tcW w:w="1843" w:type="dxa"/>
            <w:vAlign w:val="center"/>
          </w:tcPr>
          <w:p w14:paraId="1FE5D698" w14:textId="77777777" w:rsidR="003F3B0B" w:rsidRPr="003F3B0B" w:rsidRDefault="003F3B0B" w:rsidP="007B70DB">
            <w:pPr>
              <w:pStyle w:val="Quote"/>
              <w:rPr>
                <w:color w:val="auto"/>
              </w:rPr>
            </w:pPr>
            <w:r w:rsidRPr="003F3B0B">
              <w:rPr>
                <w:color w:val="auto"/>
              </w:rPr>
              <w:t>6.94</w:t>
            </w:r>
          </w:p>
        </w:tc>
      </w:tr>
      <w:tr w:rsidR="003F3B0B" w:rsidRPr="003F3B0B" w14:paraId="1A88D18E" w14:textId="77777777" w:rsidTr="007B70DB">
        <w:trPr>
          <w:jc w:val="center"/>
        </w:trPr>
        <w:tc>
          <w:tcPr>
            <w:tcW w:w="1418" w:type="dxa"/>
            <w:vAlign w:val="center"/>
          </w:tcPr>
          <w:p w14:paraId="22CFF15A" w14:textId="77777777" w:rsidR="003F3B0B" w:rsidRPr="003F3B0B" w:rsidRDefault="003F3B0B" w:rsidP="007B70DB">
            <w:pPr>
              <w:pStyle w:val="Quote"/>
              <w:rPr>
                <w:color w:val="auto"/>
              </w:rPr>
            </w:pPr>
            <w:r w:rsidRPr="003F3B0B">
              <w:rPr>
                <w:color w:val="auto"/>
              </w:rPr>
              <w:t>5</w:t>
            </w:r>
          </w:p>
        </w:tc>
        <w:tc>
          <w:tcPr>
            <w:tcW w:w="2126" w:type="dxa"/>
            <w:vAlign w:val="center"/>
          </w:tcPr>
          <w:p w14:paraId="1E6AC75D" w14:textId="77777777" w:rsidR="003F3B0B" w:rsidRPr="003F3B0B" w:rsidRDefault="003F3B0B" w:rsidP="007B70DB">
            <w:pPr>
              <w:pStyle w:val="Quote"/>
              <w:rPr>
                <w:color w:val="auto"/>
              </w:rPr>
            </w:pPr>
            <w:r w:rsidRPr="003F3B0B">
              <w:rPr>
                <w:color w:val="auto"/>
              </w:rPr>
              <w:t>0.93</w:t>
            </w:r>
          </w:p>
        </w:tc>
        <w:tc>
          <w:tcPr>
            <w:tcW w:w="1843" w:type="dxa"/>
            <w:vAlign w:val="center"/>
          </w:tcPr>
          <w:p w14:paraId="016F0112" w14:textId="77777777" w:rsidR="003F3B0B" w:rsidRPr="003F3B0B" w:rsidRDefault="003F3B0B" w:rsidP="007B70DB">
            <w:pPr>
              <w:pStyle w:val="Quote"/>
              <w:rPr>
                <w:color w:val="auto"/>
              </w:rPr>
            </w:pPr>
            <w:r w:rsidRPr="003F3B0B">
              <w:rPr>
                <w:color w:val="auto"/>
              </w:rPr>
              <w:t>6.94</w:t>
            </w:r>
          </w:p>
        </w:tc>
      </w:tr>
      <w:tr w:rsidR="003F3B0B" w:rsidRPr="003F3B0B" w14:paraId="380DD4CE" w14:textId="77777777" w:rsidTr="007B70DB">
        <w:trPr>
          <w:jc w:val="center"/>
        </w:trPr>
        <w:tc>
          <w:tcPr>
            <w:tcW w:w="1418" w:type="dxa"/>
            <w:vAlign w:val="center"/>
          </w:tcPr>
          <w:p w14:paraId="0DDBE90A" w14:textId="77777777" w:rsidR="003F3B0B" w:rsidRPr="003F3B0B" w:rsidRDefault="003F3B0B" w:rsidP="007B70DB">
            <w:pPr>
              <w:pStyle w:val="Quote"/>
              <w:rPr>
                <w:color w:val="auto"/>
              </w:rPr>
            </w:pPr>
            <w:r w:rsidRPr="003F3B0B">
              <w:rPr>
                <w:color w:val="auto"/>
              </w:rPr>
              <w:t>6</w:t>
            </w:r>
          </w:p>
        </w:tc>
        <w:tc>
          <w:tcPr>
            <w:tcW w:w="2126" w:type="dxa"/>
            <w:vAlign w:val="center"/>
          </w:tcPr>
          <w:p w14:paraId="4887E94E" w14:textId="77777777" w:rsidR="003F3B0B" w:rsidRPr="003F3B0B" w:rsidRDefault="003F3B0B" w:rsidP="007B70DB">
            <w:pPr>
              <w:pStyle w:val="Quote"/>
              <w:rPr>
                <w:color w:val="auto"/>
              </w:rPr>
            </w:pPr>
            <w:r w:rsidRPr="003F3B0B">
              <w:rPr>
                <w:color w:val="auto"/>
              </w:rPr>
              <w:t>1.74</w:t>
            </w:r>
          </w:p>
        </w:tc>
        <w:tc>
          <w:tcPr>
            <w:tcW w:w="1843" w:type="dxa"/>
            <w:vAlign w:val="center"/>
          </w:tcPr>
          <w:p w14:paraId="210E2E2A" w14:textId="77777777" w:rsidR="003F3B0B" w:rsidRPr="003F3B0B" w:rsidRDefault="003F3B0B" w:rsidP="007B70DB">
            <w:pPr>
              <w:pStyle w:val="Quote"/>
              <w:rPr>
                <w:color w:val="auto"/>
              </w:rPr>
            </w:pPr>
            <w:r w:rsidRPr="003F3B0B">
              <w:rPr>
                <w:color w:val="auto"/>
              </w:rPr>
              <w:t>14.81</w:t>
            </w:r>
          </w:p>
        </w:tc>
      </w:tr>
    </w:tbl>
    <w:p w14:paraId="05A9AA9F" w14:textId="77777777" w:rsidR="003F3B0B" w:rsidRPr="003F3B0B" w:rsidRDefault="003F3B0B" w:rsidP="003F3B0B">
      <w:pPr>
        <w:jc w:val="center"/>
        <w:rPr>
          <w:rFonts w:cs="Times New Roman"/>
          <w:b/>
          <w:sz w:val="28"/>
          <w:szCs w:val="28"/>
        </w:rPr>
      </w:pPr>
    </w:p>
    <w:p w14:paraId="590349B0" w14:textId="77777777" w:rsidR="003F3B0B" w:rsidRPr="003F3B0B" w:rsidRDefault="003F3B0B" w:rsidP="003F3B0B">
      <w:pPr>
        <w:pStyle w:val="Caption"/>
      </w:pPr>
    </w:p>
    <w:p w14:paraId="6E2EBA0E" w14:textId="77777777" w:rsidR="003F3B0B" w:rsidRPr="003F3B0B" w:rsidRDefault="003F3B0B" w:rsidP="003F3B0B">
      <w:pPr>
        <w:spacing w:after="200" w:line="276" w:lineRule="auto"/>
        <w:jc w:val="left"/>
        <w:rPr>
          <w:iCs/>
          <w:szCs w:val="18"/>
        </w:rPr>
      </w:pPr>
      <w:r w:rsidRPr="003F3B0B">
        <w:br w:type="page"/>
      </w:r>
    </w:p>
    <w:p w14:paraId="11A4921E" w14:textId="77777777" w:rsidR="003F3B0B" w:rsidRPr="003F3B0B" w:rsidRDefault="003F3B0B" w:rsidP="003F3B0B">
      <w:pPr>
        <w:pStyle w:val="Caption"/>
      </w:pPr>
      <w:proofErr w:type="gramStart"/>
      <w:r w:rsidRPr="003F3B0B">
        <w:lastRenderedPageBreak/>
        <w:t xml:space="preserve">Table </w:t>
      </w:r>
      <w:r w:rsidRPr="003F3B0B">
        <w:fldChar w:fldCharType="begin"/>
      </w:r>
      <w:r w:rsidRPr="003F3B0B">
        <w:instrText xml:space="preserve"> SEQ Table \* ARABIC </w:instrText>
      </w:r>
      <w:r w:rsidRPr="003F3B0B">
        <w:fldChar w:fldCharType="separate"/>
      </w:r>
      <w:r w:rsidRPr="003F3B0B">
        <w:rPr>
          <w:noProof/>
        </w:rPr>
        <w:t>4</w:t>
      </w:r>
      <w:r w:rsidRPr="003F3B0B">
        <w:rPr>
          <w:noProof/>
        </w:rPr>
        <w:fldChar w:fldCharType="end"/>
      </w:r>
      <w:r w:rsidRPr="003F3B0B">
        <w:t>.</w:t>
      </w:r>
      <w:proofErr w:type="gramEnd"/>
      <w:r w:rsidRPr="003F3B0B">
        <w:t xml:space="preserve"> </w:t>
      </w:r>
      <w:proofErr w:type="gramStart"/>
      <w:r w:rsidRPr="003F3B0B">
        <w:t>Summary of the fretting test parameters.</w:t>
      </w:r>
      <w:proofErr w:type="gramEnd"/>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9"/>
        <w:gridCol w:w="2858"/>
      </w:tblGrid>
      <w:tr w:rsidR="003F3B0B" w:rsidRPr="003F3B0B" w14:paraId="145189CF" w14:textId="77777777" w:rsidTr="007B70DB">
        <w:trPr>
          <w:jc w:val="center"/>
        </w:trPr>
        <w:tc>
          <w:tcPr>
            <w:tcW w:w="3749" w:type="dxa"/>
            <w:tcBorders>
              <w:top w:val="single" w:sz="4" w:space="0" w:color="auto"/>
              <w:bottom w:val="nil"/>
              <w:right w:val="single" w:sz="4" w:space="0" w:color="auto"/>
            </w:tcBorders>
          </w:tcPr>
          <w:p w14:paraId="71863315" w14:textId="77777777" w:rsidR="003F3B0B" w:rsidRPr="003F3B0B" w:rsidRDefault="003F3B0B" w:rsidP="007B70DB">
            <w:pPr>
              <w:pStyle w:val="Quote"/>
              <w:jc w:val="left"/>
              <w:rPr>
                <w:b/>
                <w:color w:val="auto"/>
              </w:rPr>
            </w:pPr>
            <w:r w:rsidRPr="003F3B0B">
              <w:rPr>
                <w:b/>
                <w:color w:val="auto"/>
              </w:rPr>
              <w:t>Test temperature</w:t>
            </w:r>
          </w:p>
        </w:tc>
        <w:tc>
          <w:tcPr>
            <w:tcW w:w="2858" w:type="dxa"/>
            <w:tcBorders>
              <w:left w:val="single" w:sz="4" w:space="0" w:color="auto"/>
            </w:tcBorders>
          </w:tcPr>
          <w:p w14:paraId="44629095" w14:textId="77777777" w:rsidR="003F3B0B" w:rsidRPr="003F3B0B" w:rsidRDefault="003F3B0B" w:rsidP="007B70DB">
            <w:pPr>
              <w:pStyle w:val="Quote"/>
              <w:jc w:val="left"/>
              <w:rPr>
                <w:color w:val="auto"/>
              </w:rPr>
            </w:pPr>
            <w:r w:rsidRPr="003F3B0B">
              <w:rPr>
                <w:color w:val="auto"/>
              </w:rPr>
              <w:t>Ambient (typically 20</w:t>
            </w:r>
            <w:r w:rsidRPr="003F3B0B">
              <w:rPr>
                <w:rFonts w:ascii="Calibri" w:hAnsi="Calibri"/>
                <w:color w:val="auto"/>
              </w:rPr>
              <w:t>⁰</w:t>
            </w:r>
            <w:r w:rsidRPr="003F3B0B">
              <w:rPr>
                <w:color w:val="auto"/>
              </w:rPr>
              <w:t>C)</w:t>
            </w:r>
          </w:p>
        </w:tc>
      </w:tr>
      <w:tr w:rsidR="003F3B0B" w:rsidRPr="003F3B0B" w14:paraId="62AFF17B" w14:textId="77777777" w:rsidTr="007B70DB">
        <w:trPr>
          <w:jc w:val="center"/>
        </w:trPr>
        <w:tc>
          <w:tcPr>
            <w:tcW w:w="3749" w:type="dxa"/>
            <w:tcBorders>
              <w:top w:val="nil"/>
              <w:bottom w:val="nil"/>
              <w:right w:val="single" w:sz="4" w:space="0" w:color="auto"/>
            </w:tcBorders>
          </w:tcPr>
          <w:p w14:paraId="17209056" w14:textId="77777777" w:rsidR="003F3B0B" w:rsidRPr="003F3B0B" w:rsidRDefault="003F3B0B" w:rsidP="007B70DB">
            <w:pPr>
              <w:pStyle w:val="Quote"/>
              <w:jc w:val="left"/>
              <w:rPr>
                <w:b/>
                <w:color w:val="auto"/>
              </w:rPr>
            </w:pPr>
            <w:r w:rsidRPr="003F3B0B">
              <w:rPr>
                <w:b/>
                <w:color w:val="auto"/>
              </w:rPr>
              <w:t xml:space="preserve">Cylinder radii, </w:t>
            </w:r>
            <w:r w:rsidRPr="003F3B0B">
              <w:rPr>
                <w:b/>
                <w:i/>
                <w:color w:val="auto"/>
              </w:rPr>
              <w:t>R</w:t>
            </w:r>
          </w:p>
        </w:tc>
        <w:tc>
          <w:tcPr>
            <w:tcW w:w="2858" w:type="dxa"/>
            <w:tcBorders>
              <w:left w:val="single" w:sz="4" w:space="0" w:color="auto"/>
            </w:tcBorders>
          </w:tcPr>
          <w:p w14:paraId="574DE751" w14:textId="77777777" w:rsidR="003F3B0B" w:rsidRPr="003F3B0B" w:rsidRDefault="003F3B0B" w:rsidP="007B70DB">
            <w:pPr>
              <w:pStyle w:val="Quote"/>
              <w:jc w:val="left"/>
              <w:rPr>
                <w:color w:val="auto"/>
              </w:rPr>
            </w:pPr>
            <w:r w:rsidRPr="003F3B0B">
              <w:rPr>
                <w:color w:val="auto"/>
              </w:rPr>
              <w:t>6 mm</w:t>
            </w:r>
          </w:p>
        </w:tc>
      </w:tr>
      <w:tr w:rsidR="003F3B0B" w:rsidRPr="003F3B0B" w14:paraId="66C86DDE" w14:textId="77777777" w:rsidTr="007B70DB">
        <w:trPr>
          <w:jc w:val="center"/>
        </w:trPr>
        <w:tc>
          <w:tcPr>
            <w:tcW w:w="3749" w:type="dxa"/>
            <w:tcBorders>
              <w:top w:val="nil"/>
              <w:bottom w:val="nil"/>
              <w:right w:val="single" w:sz="4" w:space="0" w:color="auto"/>
            </w:tcBorders>
          </w:tcPr>
          <w:p w14:paraId="12CFDA79" w14:textId="77777777" w:rsidR="003F3B0B" w:rsidRPr="003F3B0B" w:rsidRDefault="003F3B0B" w:rsidP="007B70DB">
            <w:pPr>
              <w:pStyle w:val="Quote"/>
              <w:jc w:val="left"/>
              <w:rPr>
                <w:b/>
                <w:color w:val="auto"/>
              </w:rPr>
            </w:pPr>
            <w:r w:rsidRPr="003F3B0B">
              <w:rPr>
                <w:b/>
                <w:color w:val="auto"/>
              </w:rPr>
              <w:t xml:space="preserve">Displacement amplitudes, </w:t>
            </w:r>
            <w:r w:rsidRPr="003F3B0B">
              <w:rPr>
                <w:b/>
                <w:i/>
                <w:color w:val="auto"/>
              </w:rPr>
              <w:t>Δ</w:t>
            </w:r>
            <w:r w:rsidRPr="003F3B0B">
              <w:rPr>
                <w:b/>
                <w:color w:val="auto"/>
              </w:rPr>
              <w:t>*</w:t>
            </w:r>
          </w:p>
        </w:tc>
        <w:tc>
          <w:tcPr>
            <w:tcW w:w="2858" w:type="dxa"/>
            <w:tcBorders>
              <w:left w:val="single" w:sz="4" w:space="0" w:color="auto"/>
            </w:tcBorders>
          </w:tcPr>
          <w:p w14:paraId="4AFCFED1" w14:textId="77777777" w:rsidR="003F3B0B" w:rsidRPr="003F3B0B" w:rsidRDefault="003F3B0B" w:rsidP="007B70DB">
            <w:pPr>
              <w:pStyle w:val="Quote"/>
              <w:jc w:val="left"/>
              <w:rPr>
                <w:color w:val="auto"/>
              </w:rPr>
            </w:pPr>
            <w:r w:rsidRPr="003F3B0B">
              <w:rPr>
                <w:color w:val="auto"/>
              </w:rPr>
              <w:t xml:space="preserve">1 to 6 </w:t>
            </w:r>
            <w:r w:rsidRPr="003F3B0B">
              <w:rPr>
                <w:rFonts w:eastAsia="Arial"/>
                <w:color w:val="auto"/>
              </w:rPr>
              <w:sym w:font="Symbol" w:char="F06D"/>
            </w:r>
            <w:r w:rsidRPr="003F3B0B">
              <w:rPr>
                <w:color w:val="auto"/>
              </w:rPr>
              <w:t>m</w:t>
            </w:r>
          </w:p>
        </w:tc>
      </w:tr>
      <w:tr w:rsidR="003F3B0B" w:rsidRPr="003F3B0B" w14:paraId="3A0449E3" w14:textId="77777777" w:rsidTr="007B70DB">
        <w:trPr>
          <w:jc w:val="center"/>
        </w:trPr>
        <w:tc>
          <w:tcPr>
            <w:tcW w:w="3749" w:type="dxa"/>
            <w:tcBorders>
              <w:top w:val="nil"/>
              <w:bottom w:val="nil"/>
              <w:right w:val="single" w:sz="4" w:space="0" w:color="auto"/>
            </w:tcBorders>
          </w:tcPr>
          <w:p w14:paraId="322BC49A" w14:textId="77777777" w:rsidR="003F3B0B" w:rsidRPr="003F3B0B" w:rsidRDefault="003F3B0B" w:rsidP="007B70DB">
            <w:pPr>
              <w:pStyle w:val="Quote"/>
              <w:jc w:val="left"/>
              <w:rPr>
                <w:b/>
                <w:color w:val="auto"/>
              </w:rPr>
            </w:pPr>
            <w:r w:rsidRPr="003F3B0B">
              <w:rPr>
                <w:b/>
                <w:color w:val="auto"/>
              </w:rPr>
              <w:t xml:space="preserve">Test duration, </w:t>
            </w:r>
            <w:r w:rsidRPr="003F3B0B">
              <w:rPr>
                <w:b/>
                <w:i/>
                <w:color w:val="auto"/>
              </w:rPr>
              <w:t>N</w:t>
            </w:r>
          </w:p>
        </w:tc>
        <w:tc>
          <w:tcPr>
            <w:tcW w:w="2858" w:type="dxa"/>
            <w:tcBorders>
              <w:left w:val="single" w:sz="4" w:space="0" w:color="auto"/>
            </w:tcBorders>
          </w:tcPr>
          <w:p w14:paraId="54221173" w14:textId="77777777" w:rsidR="003F3B0B" w:rsidRPr="003F3B0B" w:rsidRDefault="003F3B0B" w:rsidP="007B70DB">
            <w:pPr>
              <w:pStyle w:val="Quote"/>
              <w:jc w:val="left"/>
              <w:rPr>
                <w:color w:val="auto"/>
              </w:rPr>
            </w:pPr>
            <w:r w:rsidRPr="003F3B0B">
              <w:rPr>
                <w:color w:val="auto"/>
              </w:rPr>
              <w:t>300,000 cycles</w:t>
            </w:r>
          </w:p>
        </w:tc>
      </w:tr>
      <w:tr w:rsidR="003F3B0B" w:rsidRPr="003F3B0B" w14:paraId="5C725C5A" w14:textId="77777777" w:rsidTr="007B70DB">
        <w:trPr>
          <w:jc w:val="center"/>
        </w:trPr>
        <w:tc>
          <w:tcPr>
            <w:tcW w:w="3749" w:type="dxa"/>
            <w:tcBorders>
              <w:top w:val="nil"/>
              <w:bottom w:val="nil"/>
              <w:right w:val="single" w:sz="4" w:space="0" w:color="auto"/>
            </w:tcBorders>
          </w:tcPr>
          <w:p w14:paraId="51934C86" w14:textId="77777777" w:rsidR="003F3B0B" w:rsidRPr="003F3B0B" w:rsidRDefault="003F3B0B" w:rsidP="007B70DB">
            <w:pPr>
              <w:pStyle w:val="Quote"/>
              <w:jc w:val="left"/>
              <w:rPr>
                <w:b/>
                <w:i/>
                <w:color w:val="auto"/>
              </w:rPr>
            </w:pPr>
            <w:r w:rsidRPr="003F3B0B">
              <w:rPr>
                <w:b/>
                <w:color w:val="auto"/>
              </w:rPr>
              <w:t xml:space="preserve">Normal load, </w:t>
            </w:r>
            <w:r w:rsidRPr="003F3B0B">
              <w:rPr>
                <w:b/>
                <w:i/>
                <w:color w:val="auto"/>
              </w:rPr>
              <w:t>P</w:t>
            </w:r>
          </w:p>
        </w:tc>
        <w:tc>
          <w:tcPr>
            <w:tcW w:w="2858" w:type="dxa"/>
            <w:tcBorders>
              <w:left w:val="single" w:sz="4" w:space="0" w:color="auto"/>
            </w:tcBorders>
          </w:tcPr>
          <w:p w14:paraId="1AEBA053" w14:textId="77777777" w:rsidR="003F3B0B" w:rsidRPr="003F3B0B" w:rsidRDefault="003F3B0B" w:rsidP="007B70DB">
            <w:pPr>
              <w:pStyle w:val="Quote"/>
              <w:jc w:val="left"/>
              <w:rPr>
                <w:color w:val="auto"/>
              </w:rPr>
            </w:pPr>
            <w:r w:rsidRPr="003F3B0B">
              <w:rPr>
                <w:color w:val="auto"/>
              </w:rPr>
              <w:t>12 to 90 N</w:t>
            </w:r>
          </w:p>
        </w:tc>
      </w:tr>
      <w:tr w:rsidR="003F3B0B" w:rsidRPr="003F3B0B" w14:paraId="7350B8A8" w14:textId="77777777" w:rsidTr="007B70DB">
        <w:trPr>
          <w:jc w:val="center"/>
        </w:trPr>
        <w:tc>
          <w:tcPr>
            <w:tcW w:w="3749" w:type="dxa"/>
            <w:tcBorders>
              <w:top w:val="nil"/>
              <w:bottom w:val="nil"/>
              <w:right w:val="single" w:sz="4" w:space="0" w:color="auto"/>
            </w:tcBorders>
          </w:tcPr>
          <w:p w14:paraId="2A4DDE7C" w14:textId="77777777" w:rsidR="003F3B0B" w:rsidRPr="003F3B0B" w:rsidRDefault="003F3B0B" w:rsidP="007B70DB">
            <w:pPr>
              <w:pStyle w:val="Quote"/>
              <w:jc w:val="left"/>
              <w:rPr>
                <w:b/>
                <w:color w:val="auto"/>
                <w:vertAlign w:val="subscript"/>
              </w:rPr>
            </w:pPr>
            <w:r w:rsidRPr="003F3B0B">
              <w:rPr>
                <w:b/>
                <w:color w:val="auto"/>
              </w:rPr>
              <w:t xml:space="preserve">Maximum </w:t>
            </w:r>
            <w:proofErr w:type="spellStart"/>
            <w:r w:rsidRPr="003F3B0B">
              <w:rPr>
                <w:b/>
                <w:color w:val="auto"/>
              </w:rPr>
              <w:t>Hertzian</w:t>
            </w:r>
            <w:proofErr w:type="spellEnd"/>
            <w:r w:rsidRPr="003F3B0B">
              <w:rPr>
                <w:b/>
                <w:color w:val="auto"/>
              </w:rPr>
              <w:t xml:space="preserve"> pressure, </w:t>
            </w:r>
            <w:r w:rsidRPr="003F3B0B">
              <w:rPr>
                <w:b/>
                <w:i/>
                <w:noProof/>
                <w:color w:val="auto"/>
              </w:rPr>
              <w:t>p</w:t>
            </w:r>
            <w:r w:rsidRPr="003F3B0B">
              <w:rPr>
                <w:b/>
                <w:noProof/>
                <w:color w:val="auto"/>
                <w:vertAlign w:val="subscript"/>
              </w:rPr>
              <w:t>o</w:t>
            </w:r>
          </w:p>
        </w:tc>
        <w:tc>
          <w:tcPr>
            <w:tcW w:w="2858" w:type="dxa"/>
            <w:tcBorders>
              <w:left w:val="single" w:sz="4" w:space="0" w:color="auto"/>
            </w:tcBorders>
          </w:tcPr>
          <w:p w14:paraId="085D0335" w14:textId="77777777" w:rsidR="003F3B0B" w:rsidRPr="003F3B0B" w:rsidRDefault="003F3B0B" w:rsidP="007B70DB">
            <w:pPr>
              <w:pStyle w:val="Quote"/>
              <w:jc w:val="left"/>
              <w:rPr>
                <w:color w:val="auto"/>
              </w:rPr>
            </w:pPr>
            <w:r w:rsidRPr="003F3B0B">
              <w:rPr>
                <w:color w:val="auto"/>
              </w:rPr>
              <w:t>890 to 1730 MPa</w:t>
            </w:r>
          </w:p>
        </w:tc>
      </w:tr>
      <w:tr w:rsidR="003F3B0B" w:rsidRPr="003F3B0B" w14:paraId="215605E3" w14:textId="77777777" w:rsidTr="007B70DB">
        <w:trPr>
          <w:jc w:val="center"/>
        </w:trPr>
        <w:tc>
          <w:tcPr>
            <w:tcW w:w="3749" w:type="dxa"/>
            <w:tcBorders>
              <w:top w:val="nil"/>
              <w:bottom w:val="nil"/>
              <w:right w:val="single" w:sz="4" w:space="0" w:color="auto"/>
            </w:tcBorders>
          </w:tcPr>
          <w:p w14:paraId="7AC8EBE8" w14:textId="77777777" w:rsidR="003F3B0B" w:rsidRPr="003F3B0B" w:rsidRDefault="003F3B0B" w:rsidP="007B70DB">
            <w:pPr>
              <w:pStyle w:val="Quote"/>
              <w:jc w:val="left"/>
              <w:rPr>
                <w:b/>
                <w:color w:val="auto"/>
              </w:rPr>
            </w:pPr>
            <w:r w:rsidRPr="003F3B0B">
              <w:rPr>
                <w:b/>
                <w:color w:val="auto"/>
              </w:rPr>
              <w:t xml:space="preserve">Initial contact width, </w:t>
            </w:r>
            <w:r w:rsidRPr="003F3B0B">
              <w:rPr>
                <w:b/>
                <w:i/>
                <w:color w:val="auto"/>
              </w:rPr>
              <w:t>a</w:t>
            </w:r>
          </w:p>
        </w:tc>
        <w:tc>
          <w:tcPr>
            <w:tcW w:w="2858" w:type="dxa"/>
            <w:tcBorders>
              <w:left w:val="single" w:sz="4" w:space="0" w:color="auto"/>
            </w:tcBorders>
          </w:tcPr>
          <w:p w14:paraId="090F0C42" w14:textId="77777777" w:rsidR="003F3B0B" w:rsidRPr="003F3B0B" w:rsidRDefault="003F3B0B" w:rsidP="007B70DB">
            <w:pPr>
              <w:pStyle w:val="Quote"/>
              <w:jc w:val="left"/>
              <w:rPr>
                <w:color w:val="auto"/>
              </w:rPr>
            </w:pPr>
            <w:r w:rsidRPr="003F3B0B">
              <w:rPr>
                <w:color w:val="auto"/>
              </w:rPr>
              <w:t xml:space="preserve">80 to 157 </w:t>
            </w:r>
            <w:proofErr w:type="spellStart"/>
            <w:r w:rsidRPr="003F3B0B">
              <w:rPr>
                <w:color w:val="auto"/>
              </w:rPr>
              <w:t>μm</w:t>
            </w:r>
            <w:proofErr w:type="spellEnd"/>
          </w:p>
        </w:tc>
      </w:tr>
      <w:tr w:rsidR="003F3B0B" w:rsidRPr="003F3B0B" w14:paraId="66FEAED2" w14:textId="77777777" w:rsidTr="007B70DB">
        <w:trPr>
          <w:jc w:val="center"/>
        </w:trPr>
        <w:tc>
          <w:tcPr>
            <w:tcW w:w="3749" w:type="dxa"/>
            <w:tcBorders>
              <w:top w:val="nil"/>
              <w:bottom w:val="nil"/>
              <w:right w:val="single" w:sz="4" w:space="0" w:color="auto"/>
            </w:tcBorders>
          </w:tcPr>
          <w:p w14:paraId="7C2C9AFF" w14:textId="77777777" w:rsidR="003F3B0B" w:rsidRPr="003F3B0B" w:rsidRDefault="003F3B0B" w:rsidP="007B70DB">
            <w:pPr>
              <w:pStyle w:val="Quote"/>
              <w:jc w:val="left"/>
              <w:rPr>
                <w:b/>
                <w:color w:val="auto"/>
              </w:rPr>
            </w:pPr>
            <w:r w:rsidRPr="003F3B0B">
              <w:rPr>
                <w:b/>
                <w:color w:val="auto"/>
              </w:rPr>
              <w:t>Oscillation frequency</w:t>
            </w:r>
          </w:p>
        </w:tc>
        <w:tc>
          <w:tcPr>
            <w:tcW w:w="2858" w:type="dxa"/>
            <w:tcBorders>
              <w:left w:val="single" w:sz="4" w:space="0" w:color="auto"/>
            </w:tcBorders>
          </w:tcPr>
          <w:p w14:paraId="5643180E" w14:textId="77777777" w:rsidR="003F3B0B" w:rsidRPr="003F3B0B" w:rsidRDefault="003F3B0B" w:rsidP="007B70DB">
            <w:pPr>
              <w:pStyle w:val="Quote"/>
              <w:jc w:val="left"/>
              <w:rPr>
                <w:color w:val="auto"/>
              </w:rPr>
            </w:pPr>
            <w:r w:rsidRPr="003F3B0B">
              <w:rPr>
                <w:color w:val="auto"/>
              </w:rPr>
              <w:t>2 Hz</w:t>
            </w:r>
          </w:p>
        </w:tc>
      </w:tr>
      <w:tr w:rsidR="003F3B0B" w:rsidRPr="003F3B0B" w14:paraId="778704C5" w14:textId="77777777" w:rsidTr="007B70DB">
        <w:trPr>
          <w:jc w:val="center"/>
        </w:trPr>
        <w:tc>
          <w:tcPr>
            <w:tcW w:w="3749" w:type="dxa"/>
            <w:tcBorders>
              <w:top w:val="nil"/>
              <w:bottom w:val="single" w:sz="4" w:space="0" w:color="auto"/>
              <w:right w:val="single" w:sz="4" w:space="0" w:color="auto"/>
            </w:tcBorders>
          </w:tcPr>
          <w:p w14:paraId="5385910B" w14:textId="77777777" w:rsidR="003F3B0B" w:rsidRPr="003F3B0B" w:rsidRDefault="003F3B0B" w:rsidP="007B70DB">
            <w:pPr>
              <w:pStyle w:val="Quote"/>
              <w:jc w:val="left"/>
              <w:rPr>
                <w:b/>
                <w:color w:val="auto"/>
              </w:rPr>
            </w:pPr>
            <w:r w:rsidRPr="003F3B0B">
              <w:rPr>
                <w:b/>
                <w:color w:val="auto"/>
              </w:rPr>
              <w:t>Lubricant</w:t>
            </w:r>
          </w:p>
        </w:tc>
        <w:tc>
          <w:tcPr>
            <w:tcW w:w="2858" w:type="dxa"/>
            <w:tcBorders>
              <w:left w:val="single" w:sz="4" w:space="0" w:color="auto"/>
            </w:tcBorders>
          </w:tcPr>
          <w:p w14:paraId="461A3C45" w14:textId="77777777" w:rsidR="003F3B0B" w:rsidRPr="003F3B0B" w:rsidRDefault="003F3B0B" w:rsidP="007B70DB">
            <w:pPr>
              <w:pStyle w:val="Quote"/>
              <w:jc w:val="left"/>
              <w:rPr>
                <w:color w:val="auto"/>
              </w:rPr>
            </w:pPr>
            <w:r w:rsidRPr="003F3B0B">
              <w:rPr>
                <w:color w:val="auto"/>
              </w:rPr>
              <w:t>None</w:t>
            </w:r>
          </w:p>
        </w:tc>
      </w:tr>
    </w:tbl>
    <w:p w14:paraId="11CEF461" w14:textId="77777777" w:rsidR="003F3B0B" w:rsidRPr="003F3B0B" w:rsidRDefault="003F3B0B" w:rsidP="003F3B0B"/>
    <w:p w14:paraId="7F4731A0" w14:textId="77777777" w:rsidR="003F3B0B" w:rsidRPr="003F3B0B" w:rsidRDefault="003F3B0B" w:rsidP="003F3B0B">
      <w:pPr>
        <w:pStyle w:val="Caption"/>
      </w:pPr>
      <w:r w:rsidRPr="003F3B0B">
        <w:br w:type="page"/>
      </w:r>
    </w:p>
    <w:p w14:paraId="4B81D5A0" w14:textId="2C8B83AC" w:rsidR="003F3B0B" w:rsidRPr="003F3B0B" w:rsidRDefault="003F3B0B" w:rsidP="003F3B0B">
      <w:pPr>
        <w:pStyle w:val="Caption"/>
      </w:pPr>
      <w:proofErr w:type="gramStart"/>
      <w:r w:rsidRPr="003F3B0B">
        <w:lastRenderedPageBreak/>
        <w:t xml:space="preserve">Table </w:t>
      </w:r>
      <w:r w:rsidRPr="003F3B0B">
        <w:fldChar w:fldCharType="begin"/>
      </w:r>
      <w:r w:rsidRPr="003F3B0B">
        <w:instrText xml:space="preserve"> SEQ Table \* ARABIC </w:instrText>
      </w:r>
      <w:r w:rsidRPr="003F3B0B">
        <w:fldChar w:fldCharType="separate"/>
      </w:r>
      <w:r w:rsidRPr="003F3B0B">
        <w:rPr>
          <w:noProof/>
        </w:rPr>
        <w:t>5</w:t>
      </w:r>
      <w:r w:rsidRPr="003F3B0B">
        <w:rPr>
          <w:noProof/>
        </w:rPr>
        <w:fldChar w:fldCharType="end"/>
      </w:r>
      <w:r w:rsidRPr="003F3B0B">
        <w:t>.</w:t>
      </w:r>
      <w:proofErr w:type="gramEnd"/>
      <w:r w:rsidRPr="003F3B0B">
        <w:t xml:space="preserve"> Identified low- and high-cycle fatigue constants and</w:t>
      </w:r>
      <w:r w:rsidRPr="003F3B0B">
        <w:rPr>
          <w:i/>
        </w:rPr>
        <w:t xml:space="preserve"> </w:t>
      </w:r>
      <w:proofErr w:type="spellStart"/>
      <w:r w:rsidRPr="003F3B0B">
        <w:rPr>
          <w:i/>
        </w:rPr>
        <w:t>D</w:t>
      </w:r>
      <w:r w:rsidRPr="003F3B0B">
        <w:rPr>
          <w:vertAlign w:val="subscript"/>
        </w:rPr>
        <w:t>fret</w:t>
      </w:r>
      <w:proofErr w:type="spellEnd"/>
      <w:r w:rsidRPr="003F3B0B">
        <w:t xml:space="preserve"> constants for pressure armour wire [23].</w:t>
      </w:r>
    </w:p>
    <w:tbl>
      <w:tblPr>
        <w:tblW w:w="0" w:type="auto"/>
        <w:jc w:val="center"/>
        <w:tblInd w:w="-523" w:type="dxa"/>
        <w:tblBorders>
          <w:top w:val="single" w:sz="4" w:space="0" w:color="auto"/>
          <w:bottom w:val="single" w:sz="4" w:space="0" w:color="auto"/>
          <w:insideH w:val="single" w:sz="4" w:space="0" w:color="auto"/>
        </w:tblBorders>
        <w:tblLook w:val="01E0" w:firstRow="1" w:lastRow="1" w:firstColumn="1" w:lastColumn="1" w:noHBand="0" w:noVBand="0"/>
      </w:tblPr>
      <w:tblGrid>
        <w:gridCol w:w="1772"/>
        <w:gridCol w:w="141"/>
        <w:gridCol w:w="2694"/>
      </w:tblGrid>
      <w:tr w:rsidR="003F3B0B" w:rsidRPr="003F3B0B" w14:paraId="29FC392B" w14:textId="77777777" w:rsidTr="007B70DB">
        <w:trPr>
          <w:jc w:val="center"/>
        </w:trPr>
        <w:tc>
          <w:tcPr>
            <w:tcW w:w="1913" w:type="dxa"/>
            <w:gridSpan w:val="2"/>
            <w:tcBorders>
              <w:bottom w:val="single" w:sz="4" w:space="0" w:color="auto"/>
            </w:tcBorders>
          </w:tcPr>
          <w:p w14:paraId="4EED314B" w14:textId="77777777" w:rsidR="003F3B0B" w:rsidRPr="003F3B0B" w:rsidRDefault="003F3B0B" w:rsidP="007B70DB">
            <w:pPr>
              <w:pStyle w:val="NormalIndent"/>
              <w:jc w:val="center"/>
              <w:rPr>
                <w:rFonts w:cs="Times New Roman"/>
                <w:sz w:val="22"/>
              </w:rPr>
            </w:pPr>
            <w:r w:rsidRPr="003F3B0B">
              <w:rPr>
                <w:rFonts w:cs="Times New Roman"/>
                <w:sz w:val="22"/>
              </w:rPr>
              <w:t>Parameter</w:t>
            </w:r>
          </w:p>
        </w:tc>
        <w:tc>
          <w:tcPr>
            <w:tcW w:w="2694" w:type="dxa"/>
            <w:tcBorders>
              <w:bottom w:val="single" w:sz="4" w:space="0" w:color="auto"/>
            </w:tcBorders>
          </w:tcPr>
          <w:p w14:paraId="7C88DFBC" w14:textId="77777777" w:rsidR="003F3B0B" w:rsidRPr="003F3B0B" w:rsidRDefault="003F3B0B" w:rsidP="007B70DB">
            <w:pPr>
              <w:pStyle w:val="NormalIndent"/>
              <w:jc w:val="center"/>
              <w:rPr>
                <w:rFonts w:cs="Times New Roman"/>
                <w:sz w:val="22"/>
              </w:rPr>
            </w:pPr>
            <w:r w:rsidRPr="003F3B0B">
              <w:rPr>
                <w:rFonts w:cs="Times New Roman"/>
                <w:sz w:val="22"/>
              </w:rPr>
              <w:t>Value</w:t>
            </w:r>
          </w:p>
        </w:tc>
      </w:tr>
      <w:tr w:rsidR="003F3B0B" w:rsidRPr="003F3B0B" w14:paraId="7D2A9341" w14:textId="77777777" w:rsidTr="007B70DB">
        <w:trPr>
          <w:jc w:val="center"/>
        </w:trPr>
        <w:tc>
          <w:tcPr>
            <w:tcW w:w="1913" w:type="dxa"/>
            <w:gridSpan w:val="2"/>
            <w:tcBorders>
              <w:bottom w:val="nil"/>
            </w:tcBorders>
          </w:tcPr>
          <w:p w14:paraId="4C29E27D" w14:textId="77777777" w:rsidR="003F3B0B" w:rsidRPr="003F3B0B" w:rsidRDefault="003F3B0B" w:rsidP="007B70DB">
            <w:pPr>
              <w:pStyle w:val="NormalIndent"/>
              <w:jc w:val="center"/>
              <w:rPr>
                <w:rFonts w:cs="Times New Roman"/>
                <w:sz w:val="22"/>
                <w:vertAlign w:val="subscript"/>
              </w:rPr>
            </w:pPr>
            <w:r w:rsidRPr="003F3B0B">
              <w:rPr>
                <w:rFonts w:cs="Times New Roman"/>
                <w:sz w:val="22"/>
              </w:rPr>
              <w:t>(</w:t>
            </w:r>
            <w:proofErr w:type="spellStart"/>
            <w:r w:rsidRPr="003F3B0B">
              <w:rPr>
                <w:rFonts w:cs="Times New Roman"/>
                <w:i/>
                <w:sz w:val="22"/>
              </w:rPr>
              <w:t>τδ</w:t>
            </w:r>
            <w:proofErr w:type="spellEnd"/>
            <w:r w:rsidRPr="003F3B0B">
              <w:rPr>
                <w:rFonts w:cs="Times New Roman"/>
                <w:sz w:val="22"/>
              </w:rPr>
              <w:t>)</w:t>
            </w:r>
            <w:proofErr w:type="spellStart"/>
            <w:r w:rsidRPr="003F3B0B">
              <w:rPr>
                <w:rFonts w:cs="Times New Roman"/>
                <w:sz w:val="22"/>
                <w:vertAlign w:val="subscript"/>
              </w:rPr>
              <w:t>th</w:t>
            </w:r>
            <w:proofErr w:type="spellEnd"/>
          </w:p>
        </w:tc>
        <w:tc>
          <w:tcPr>
            <w:tcW w:w="2694" w:type="dxa"/>
            <w:tcBorders>
              <w:bottom w:val="nil"/>
            </w:tcBorders>
          </w:tcPr>
          <w:p w14:paraId="7DE2B444" w14:textId="77777777" w:rsidR="003F3B0B" w:rsidRPr="003F3B0B" w:rsidRDefault="003F3B0B" w:rsidP="007B70DB">
            <w:pPr>
              <w:pStyle w:val="NormalIndent"/>
              <w:jc w:val="center"/>
              <w:rPr>
                <w:rFonts w:cs="Times New Roman"/>
                <w:sz w:val="22"/>
              </w:rPr>
            </w:pPr>
            <w:r w:rsidRPr="003F3B0B">
              <w:rPr>
                <w:rFonts w:cs="Times New Roman"/>
                <w:sz w:val="22"/>
              </w:rPr>
              <w:t>0.4 MPa mm</w:t>
            </w:r>
          </w:p>
        </w:tc>
      </w:tr>
      <w:tr w:rsidR="003F3B0B" w:rsidRPr="003F3B0B" w14:paraId="4D49C96E" w14:textId="77777777" w:rsidTr="007B70DB">
        <w:trPr>
          <w:jc w:val="center"/>
        </w:trPr>
        <w:tc>
          <w:tcPr>
            <w:tcW w:w="1913" w:type="dxa"/>
            <w:gridSpan w:val="2"/>
            <w:tcBorders>
              <w:top w:val="nil"/>
              <w:bottom w:val="nil"/>
            </w:tcBorders>
          </w:tcPr>
          <w:p w14:paraId="65601CDF" w14:textId="77777777" w:rsidR="003F3B0B" w:rsidRPr="003F3B0B" w:rsidRDefault="003F3B0B" w:rsidP="007B70DB">
            <w:pPr>
              <w:pStyle w:val="NormalIndent"/>
              <w:jc w:val="center"/>
              <w:rPr>
                <w:rFonts w:cs="Times New Roman"/>
                <w:sz w:val="22"/>
                <w:vertAlign w:val="subscript"/>
              </w:rPr>
            </w:pPr>
            <w:r w:rsidRPr="003F3B0B">
              <w:rPr>
                <w:rFonts w:cs="Times New Roman"/>
                <w:i/>
                <w:sz w:val="22"/>
              </w:rPr>
              <w:t>C</w:t>
            </w:r>
          </w:p>
        </w:tc>
        <w:tc>
          <w:tcPr>
            <w:tcW w:w="2694" w:type="dxa"/>
            <w:tcBorders>
              <w:top w:val="nil"/>
              <w:bottom w:val="nil"/>
            </w:tcBorders>
          </w:tcPr>
          <w:p w14:paraId="33408562" w14:textId="77777777" w:rsidR="003F3B0B" w:rsidRPr="003F3B0B" w:rsidRDefault="003F3B0B" w:rsidP="007B70DB">
            <w:pPr>
              <w:pStyle w:val="NormalIndent"/>
              <w:jc w:val="center"/>
              <w:rPr>
                <w:rFonts w:cs="Times New Roman"/>
                <w:sz w:val="22"/>
                <w:vertAlign w:val="superscript"/>
              </w:rPr>
            </w:pPr>
            <w:r w:rsidRPr="003F3B0B">
              <w:rPr>
                <w:rFonts w:cs="Times New Roman"/>
                <w:sz w:val="22"/>
              </w:rPr>
              <w:t>0.05 MPa</w:t>
            </w:r>
            <w:r w:rsidRPr="003F3B0B">
              <w:rPr>
                <w:rFonts w:cs="Times New Roman"/>
                <w:sz w:val="22"/>
                <w:vertAlign w:val="superscript"/>
              </w:rPr>
              <w:t>-1</w:t>
            </w:r>
            <w:r w:rsidRPr="003F3B0B">
              <w:rPr>
                <w:rFonts w:cs="Times New Roman"/>
                <w:sz w:val="22"/>
              </w:rPr>
              <w:t xml:space="preserve"> mm</w:t>
            </w:r>
            <w:r w:rsidRPr="003F3B0B">
              <w:rPr>
                <w:rFonts w:cs="Times New Roman"/>
                <w:sz w:val="22"/>
                <w:vertAlign w:val="superscript"/>
              </w:rPr>
              <w:t>-1</w:t>
            </w:r>
          </w:p>
        </w:tc>
      </w:tr>
      <w:tr w:rsidR="003F3B0B" w:rsidRPr="003F3B0B" w14:paraId="75BEA9C7" w14:textId="77777777" w:rsidTr="007B70DB">
        <w:trPr>
          <w:jc w:val="center"/>
        </w:trPr>
        <w:tc>
          <w:tcPr>
            <w:tcW w:w="1772" w:type="dxa"/>
            <w:tcBorders>
              <w:top w:val="nil"/>
              <w:bottom w:val="nil"/>
            </w:tcBorders>
          </w:tcPr>
          <w:p w14:paraId="22C17015" w14:textId="77777777" w:rsidR="003F3B0B" w:rsidRPr="003F3B0B" w:rsidRDefault="003F3B0B" w:rsidP="007B70DB">
            <w:pPr>
              <w:pStyle w:val="NormalIndent"/>
              <w:jc w:val="center"/>
              <w:rPr>
                <w:rFonts w:cs="Times New Roman"/>
                <w:i/>
                <w:sz w:val="22"/>
              </w:rPr>
            </w:pPr>
            <w:r w:rsidRPr="003F3B0B">
              <w:rPr>
                <w:rFonts w:cs="Times New Roman"/>
                <w:i/>
                <w:sz w:val="22"/>
              </w:rPr>
              <w:t>m</w:t>
            </w:r>
          </w:p>
        </w:tc>
        <w:tc>
          <w:tcPr>
            <w:tcW w:w="2835" w:type="dxa"/>
            <w:gridSpan w:val="2"/>
            <w:tcBorders>
              <w:top w:val="nil"/>
              <w:bottom w:val="nil"/>
            </w:tcBorders>
          </w:tcPr>
          <w:p w14:paraId="71F5976A" w14:textId="77777777" w:rsidR="003F3B0B" w:rsidRPr="003F3B0B" w:rsidRDefault="003F3B0B" w:rsidP="007B70DB">
            <w:pPr>
              <w:pStyle w:val="NormalIndent"/>
              <w:jc w:val="center"/>
              <w:rPr>
                <w:rFonts w:cs="Times New Roman"/>
                <w:sz w:val="22"/>
              </w:rPr>
            </w:pPr>
            <w:r w:rsidRPr="003F3B0B">
              <w:rPr>
                <w:rFonts w:cs="Times New Roman"/>
                <w:sz w:val="22"/>
              </w:rPr>
              <w:t>-0.85</w:t>
            </w:r>
          </w:p>
        </w:tc>
      </w:tr>
      <w:tr w:rsidR="003F3B0B" w:rsidRPr="003F3B0B" w14:paraId="0D1D13FC" w14:textId="77777777" w:rsidTr="007B70DB">
        <w:trPr>
          <w:jc w:val="center"/>
        </w:trPr>
        <w:tc>
          <w:tcPr>
            <w:tcW w:w="1772" w:type="dxa"/>
            <w:tcBorders>
              <w:top w:val="nil"/>
              <w:bottom w:val="nil"/>
            </w:tcBorders>
          </w:tcPr>
          <w:p w14:paraId="2E842344" w14:textId="77777777" w:rsidR="003F3B0B" w:rsidRPr="003F3B0B" w:rsidRDefault="003F3B0B" w:rsidP="007B70DB">
            <w:pPr>
              <w:pStyle w:val="NormalIndent"/>
              <w:jc w:val="center"/>
              <w:rPr>
                <w:rFonts w:cs="Times New Roman"/>
                <w:sz w:val="22"/>
                <w:vertAlign w:val="subscript"/>
              </w:rPr>
            </w:pPr>
            <w:proofErr w:type="spellStart"/>
            <w:r w:rsidRPr="003F3B0B">
              <w:rPr>
                <w:rFonts w:cs="Times New Roman"/>
                <w:i/>
                <w:sz w:val="22"/>
              </w:rPr>
              <w:t>σ</w:t>
            </w:r>
            <w:r w:rsidRPr="003F3B0B">
              <w:rPr>
                <w:rFonts w:cs="Times New Roman"/>
                <w:sz w:val="22"/>
              </w:rPr>
              <w:t>’</w:t>
            </w:r>
            <w:r w:rsidRPr="003F3B0B">
              <w:rPr>
                <w:rFonts w:cs="Times New Roman"/>
                <w:sz w:val="22"/>
                <w:vertAlign w:val="subscript"/>
              </w:rPr>
              <w:t>f</w:t>
            </w:r>
            <w:proofErr w:type="spellEnd"/>
          </w:p>
        </w:tc>
        <w:tc>
          <w:tcPr>
            <w:tcW w:w="2835" w:type="dxa"/>
            <w:gridSpan w:val="2"/>
            <w:tcBorders>
              <w:top w:val="nil"/>
              <w:bottom w:val="nil"/>
            </w:tcBorders>
          </w:tcPr>
          <w:p w14:paraId="1E49B7CE" w14:textId="77777777" w:rsidR="003F3B0B" w:rsidRPr="003F3B0B" w:rsidRDefault="003F3B0B" w:rsidP="007B70DB">
            <w:pPr>
              <w:pStyle w:val="NormalIndent"/>
              <w:jc w:val="center"/>
              <w:rPr>
                <w:rFonts w:cs="Times New Roman"/>
                <w:sz w:val="22"/>
              </w:rPr>
            </w:pPr>
            <w:r w:rsidRPr="003F3B0B">
              <w:rPr>
                <w:rFonts w:cs="Times New Roman"/>
                <w:sz w:val="22"/>
              </w:rPr>
              <w:t>1710 MPa</w:t>
            </w:r>
          </w:p>
        </w:tc>
      </w:tr>
      <w:tr w:rsidR="003F3B0B" w:rsidRPr="003F3B0B" w14:paraId="289CE036" w14:textId="77777777" w:rsidTr="007B70DB">
        <w:trPr>
          <w:jc w:val="center"/>
        </w:trPr>
        <w:tc>
          <w:tcPr>
            <w:tcW w:w="1772" w:type="dxa"/>
            <w:tcBorders>
              <w:top w:val="nil"/>
              <w:bottom w:val="nil"/>
            </w:tcBorders>
          </w:tcPr>
          <w:p w14:paraId="2F945C3A" w14:textId="77777777" w:rsidR="003F3B0B" w:rsidRPr="003F3B0B" w:rsidRDefault="003F3B0B" w:rsidP="007B70DB">
            <w:pPr>
              <w:pStyle w:val="NormalIndent"/>
              <w:jc w:val="center"/>
              <w:rPr>
                <w:rFonts w:cs="Times New Roman"/>
                <w:sz w:val="22"/>
                <w:vertAlign w:val="subscript"/>
              </w:rPr>
            </w:pPr>
            <w:proofErr w:type="spellStart"/>
            <w:r w:rsidRPr="003F3B0B">
              <w:rPr>
                <w:rFonts w:cs="Times New Roman"/>
                <w:i/>
                <w:sz w:val="22"/>
              </w:rPr>
              <w:t>ε</w:t>
            </w:r>
            <w:r w:rsidRPr="003F3B0B">
              <w:rPr>
                <w:rFonts w:cs="Times New Roman"/>
                <w:sz w:val="22"/>
              </w:rPr>
              <w:t>’</w:t>
            </w:r>
            <w:r w:rsidRPr="003F3B0B">
              <w:rPr>
                <w:rFonts w:cs="Times New Roman"/>
                <w:sz w:val="22"/>
                <w:vertAlign w:val="subscript"/>
              </w:rPr>
              <w:t>f</w:t>
            </w:r>
            <w:proofErr w:type="spellEnd"/>
          </w:p>
        </w:tc>
        <w:tc>
          <w:tcPr>
            <w:tcW w:w="2835" w:type="dxa"/>
            <w:gridSpan w:val="2"/>
            <w:tcBorders>
              <w:top w:val="nil"/>
              <w:bottom w:val="nil"/>
            </w:tcBorders>
          </w:tcPr>
          <w:p w14:paraId="69A2E0F4" w14:textId="77777777" w:rsidR="003F3B0B" w:rsidRPr="003F3B0B" w:rsidRDefault="003F3B0B" w:rsidP="007B70DB">
            <w:pPr>
              <w:pStyle w:val="NormalIndent"/>
              <w:jc w:val="center"/>
              <w:rPr>
                <w:rFonts w:cs="Times New Roman"/>
                <w:sz w:val="22"/>
              </w:rPr>
            </w:pPr>
            <w:r w:rsidRPr="003F3B0B">
              <w:rPr>
                <w:rFonts w:cs="Times New Roman"/>
                <w:sz w:val="22"/>
              </w:rPr>
              <w:t>0.2355</w:t>
            </w:r>
          </w:p>
        </w:tc>
      </w:tr>
      <w:tr w:rsidR="003F3B0B" w:rsidRPr="003F3B0B" w14:paraId="034122CF" w14:textId="77777777" w:rsidTr="007B70DB">
        <w:trPr>
          <w:jc w:val="center"/>
        </w:trPr>
        <w:tc>
          <w:tcPr>
            <w:tcW w:w="1772" w:type="dxa"/>
            <w:tcBorders>
              <w:top w:val="nil"/>
              <w:bottom w:val="nil"/>
            </w:tcBorders>
          </w:tcPr>
          <w:p w14:paraId="25523CDA" w14:textId="77777777" w:rsidR="003F3B0B" w:rsidRPr="003F3B0B" w:rsidRDefault="003F3B0B" w:rsidP="007B70DB">
            <w:pPr>
              <w:pStyle w:val="NormalIndent"/>
              <w:jc w:val="center"/>
              <w:rPr>
                <w:rFonts w:cs="Times New Roman"/>
                <w:i/>
                <w:sz w:val="22"/>
              </w:rPr>
            </w:pPr>
            <w:r w:rsidRPr="003F3B0B">
              <w:rPr>
                <w:rFonts w:cs="Times New Roman"/>
                <w:i/>
                <w:sz w:val="22"/>
              </w:rPr>
              <w:t>b</w:t>
            </w:r>
          </w:p>
        </w:tc>
        <w:tc>
          <w:tcPr>
            <w:tcW w:w="2835" w:type="dxa"/>
            <w:gridSpan w:val="2"/>
            <w:tcBorders>
              <w:top w:val="nil"/>
              <w:bottom w:val="nil"/>
            </w:tcBorders>
          </w:tcPr>
          <w:p w14:paraId="5EF54ABD" w14:textId="77777777" w:rsidR="003F3B0B" w:rsidRPr="003F3B0B" w:rsidRDefault="003F3B0B" w:rsidP="007B70DB">
            <w:pPr>
              <w:pStyle w:val="NormalIndent"/>
              <w:jc w:val="center"/>
              <w:rPr>
                <w:rFonts w:cs="Times New Roman"/>
                <w:sz w:val="22"/>
              </w:rPr>
            </w:pPr>
            <w:r w:rsidRPr="003F3B0B">
              <w:rPr>
                <w:rFonts w:cs="Times New Roman"/>
                <w:sz w:val="22"/>
              </w:rPr>
              <w:t>-0.12</w:t>
            </w:r>
          </w:p>
        </w:tc>
      </w:tr>
      <w:tr w:rsidR="003F3B0B" w:rsidRPr="003F3B0B" w14:paraId="2B0F81FB" w14:textId="77777777" w:rsidTr="007B70DB">
        <w:trPr>
          <w:jc w:val="center"/>
        </w:trPr>
        <w:tc>
          <w:tcPr>
            <w:tcW w:w="1772" w:type="dxa"/>
            <w:tcBorders>
              <w:top w:val="nil"/>
            </w:tcBorders>
          </w:tcPr>
          <w:p w14:paraId="74E1131F" w14:textId="77777777" w:rsidR="003F3B0B" w:rsidRPr="003F3B0B" w:rsidRDefault="003F3B0B" w:rsidP="007B70DB">
            <w:pPr>
              <w:pStyle w:val="NormalIndent"/>
              <w:jc w:val="center"/>
              <w:rPr>
                <w:rFonts w:cs="Times New Roman"/>
                <w:i/>
                <w:sz w:val="22"/>
              </w:rPr>
            </w:pPr>
            <w:r w:rsidRPr="003F3B0B">
              <w:rPr>
                <w:rFonts w:cs="Times New Roman"/>
                <w:i/>
                <w:sz w:val="22"/>
              </w:rPr>
              <w:t>c</w:t>
            </w:r>
          </w:p>
        </w:tc>
        <w:tc>
          <w:tcPr>
            <w:tcW w:w="2835" w:type="dxa"/>
            <w:gridSpan w:val="2"/>
            <w:tcBorders>
              <w:top w:val="nil"/>
            </w:tcBorders>
          </w:tcPr>
          <w:p w14:paraId="79A787BE" w14:textId="77777777" w:rsidR="003F3B0B" w:rsidRPr="003F3B0B" w:rsidRDefault="003F3B0B" w:rsidP="007B70DB">
            <w:pPr>
              <w:pStyle w:val="NormalIndent"/>
              <w:jc w:val="center"/>
              <w:rPr>
                <w:rFonts w:cs="Times New Roman"/>
                <w:sz w:val="22"/>
              </w:rPr>
            </w:pPr>
            <w:r w:rsidRPr="003F3B0B">
              <w:rPr>
                <w:rFonts w:cs="Times New Roman"/>
                <w:sz w:val="22"/>
              </w:rPr>
              <w:t>-0.5742</w:t>
            </w:r>
          </w:p>
        </w:tc>
      </w:tr>
    </w:tbl>
    <w:p w14:paraId="0CFA3AB3" w14:textId="77777777" w:rsidR="003F3B0B" w:rsidRPr="003F3B0B" w:rsidRDefault="003F3B0B" w:rsidP="003F3B0B">
      <w:pPr>
        <w:pStyle w:val="Caption"/>
      </w:pPr>
    </w:p>
    <w:p w14:paraId="76AAA790" w14:textId="77777777" w:rsidR="003F3B0B" w:rsidRPr="003F3B0B" w:rsidRDefault="003F3B0B" w:rsidP="003F3B0B">
      <w:pPr>
        <w:jc w:val="center"/>
        <w:rPr>
          <w:rFonts w:cs="Times New Roman"/>
          <w:b/>
          <w:sz w:val="28"/>
          <w:szCs w:val="28"/>
        </w:rPr>
      </w:pPr>
    </w:p>
    <w:p w14:paraId="0BEB248B" w14:textId="77777777" w:rsidR="003F3B0B" w:rsidRPr="003F3B0B" w:rsidRDefault="003F3B0B" w:rsidP="003F3B0B">
      <w:pPr>
        <w:spacing w:after="200" w:line="276" w:lineRule="auto"/>
        <w:jc w:val="left"/>
        <w:rPr>
          <w:iCs/>
          <w:szCs w:val="18"/>
        </w:rPr>
      </w:pPr>
      <w:r w:rsidRPr="003F3B0B">
        <w:br w:type="page"/>
      </w:r>
    </w:p>
    <w:p w14:paraId="56E5AB42" w14:textId="77777777" w:rsidR="003F3B0B" w:rsidRPr="003F3B0B" w:rsidRDefault="003F3B0B" w:rsidP="003F3B0B">
      <w:pPr>
        <w:pStyle w:val="Caption"/>
      </w:pPr>
      <w:proofErr w:type="gramStart"/>
      <w:r w:rsidRPr="003F3B0B">
        <w:lastRenderedPageBreak/>
        <w:t xml:space="preserve">Table </w:t>
      </w:r>
      <w:r w:rsidRPr="003F3B0B">
        <w:fldChar w:fldCharType="begin"/>
      </w:r>
      <w:r w:rsidRPr="003F3B0B">
        <w:instrText xml:space="preserve"> SEQ Table \* ARABIC </w:instrText>
      </w:r>
      <w:r w:rsidRPr="003F3B0B">
        <w:fldChar w:fldCharType="separate"/>
      </w:r>
      <w:r w:rsidRPr="003F3B0B">
        <w:rPr>
          <w:noProof/>
        </w:rPr>
        <w:t>6</w:t>
      </w:r>
      <w:r w:rsidRPr="003F3B0B">
        <w:rPr>
          <w:noProof/>
        </w:rPr>
        <w:fldChar w:fldCharType="end"/>
      </w:r>
      <w:r w:rsidRPr="003F3B0B">
        <w:t>.</w:t>
      </w:r>
      <w:proofErr w:type="gramEnd"/>
      <w:r w:rsidRPr="003F3B0B">
        <w:t xml:space="preserve"> </w:t>
      </w:r>
      <w:r w:rsidRPr="003F3B0B">
        <w:rPr>
          <w:i/>
        </w:rPr>
        <w:t>A</w:t>
      </w:r>
      <w:r w:rsidRPr="003F3B0B">
        <w:t xml:space="preserve">, </w:t>
      </w:r>
      <w:r w:rsidRPr="003F3B0B">
        <w:rPr>
          <w:i/>
        </w:rPr>
        <w:t>B</w:t>
      </w:r>
      <w:r w:rsidRPr="003F3B0B">
        <w:t xml:space="preserve">, and </w:t>
      </w:r>
      <w:r w:rsidRPr="003F3B0B">
        <w:rPr>
          <w:i/>
        </w:rPr>
        <w:t>C</w:t>
      </w:r>
      <w:r w:rsidRPr="003F3B0B">
        <w:t xml:space="preserve"> for each riser geometry and nub-groove sliding conditions</w:t>
      </w:r>
    </w:p>
    <w:tbl>
      <w:tblPr>
        <w:tblStyle w:val="TableGrid"/>
        <w:tblW w:w="9284"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452"/>
        <w:gridCol w:w="1134"/>
        <w:gridCol w:w="1345"/>
        <w:gridCol w:w="1431"/>
        <w:gridCol w:w="1387"/>
        <w:gridCol w:w="1401"/>
      </w:tblGrid>
      <w:tr w:rsidR="003F3B0B" w:rsidRPr="003F3B0B" w14:paraId="1AA412C8" w14:textId="77777777" w:rsidTr="007B70DB">
        <w:trPr>
          <w:jc w:val="center"/>
        </w:trPr>
        <w:tc>
          <w:tcPr>
            <w:tcW w:w="1134" w:type="dxa"/>
            <w:tcBorders>
              <w:top w:val="single" w:sz="4" w:space="0" w:color="auto"/>
              <w:bottom w:val="nil"/>
              <w:right w:val="single" w:sz="4" w:space="0" w:color="auto"/>
            </w:tcBorders>
            <w:vAlign w:val="center"/>
          </w:tcPr>
          <w:p w14:paraId="43E7D6BF" w14:textId="77777777" w:rsidR="003F3B0B" w:rsidRPr="003F3B0B" w:rsidRDefault="003F3B0B" w:rsidP="007B70DB">
            <w:pPr>
              <w:jc w:val="center"/>
              <w:rPr>
                <w:b/>
              </w:rPr>
            </w:pPr>
            <w:r w:rsidRPr="003F3B0B">
              <w:rPr>
                <w:b/>
              </w:rPr>
              <w:t>Riser</w:t>
            </w:r>
          </w:p>
        </w:tc>
        <w:tc>
          <w:tcPr>
            <w:tcW w:w="1452" w:type="dxa"/>
            <w:tcBorders>
              <w:top w:val="single" w:sz="4" w:space="0" w:color="auto"/>
              <w:left w:val="single" w:sz="4" w:space="0" w:color="auto"/>
              <w:bottom w:val="nil"/>
            </w:tcBorders>
            <w:vAlign w:val="center"/>
          </w:tcPr>
          <w:p w14:paraId="30263A13" w14:textId="77777777" w:rsidR="003F3B0B" w:rsidRPr="003F3B0B" w:rsidRDefault="003F3B0B" w:rsidP="007B70DB">
            <w:pPr>
              <w:jc w:val="center"/>
              <w:rPr>
                <w:b/>
              </w:rPr>
            </w:pPr>
            <w:r w:rsidRPr="003F3B0B">
              <w:rPr>
                <w:b/>
              </w:rPr>
              <w:t>A</w:t>
            </w:r>
          </w:p>
        </w:tc>
        <w:tc>
          <w:tcPr>
            <w:tcW w:w="1134" w:type="dxa"/>
            <w:tcBorders>
              <w:top w:val="single" w:sz="4" w:space="0" w:color="auto"/>
              <w:bottom w:val="nil"/>
            </w:tcBorders>
            <w:vAlign w:val="center"/>
          </w:tcPr>
          <w:p w14:paraId="458EB8D4" w14:textId="77777777" w:rsidR="003F3B0B" w:rsidRPr="003F3B0B" w:rsidRDefault="003F3B0B" w:rsidP="007B70DB">
            <w:pPr>
              <w:jc w:val="center"/>
              <w:rPr>
                <w:b/>
              </w:rPr>
            </w:pPr>
            <w:r w:rsidRPr="003F3B0B">
              <w:rPr>
                <w:b/>
              </w:rPr>
              <w:t>B</w:t>
            </w:r>
          </w:p>
        </w:tc>
        <w:tc>
          <w:tcPr>
            <w:tcW w:w="1345" w:type="dxa"/>
            <w:tcBorders>
              <w:top w:val="single" w:sz="4" w:space="0" w:color="auto"/>
              <w:bottom w:val="nil"/>
              <w:right w:val="single" w:sz="4" w:space="0" w:color="auto"/>
            </w:tcBorders>
            <w:vAlign w:val="center"/>
          </w:tcPr>
          <w:p w14:paraId="0F557343" w14:textId="77777777" w:rsidR="003F3B0B" w:rsidRPr="003F3B0B" w:rsidRDefault="003F3B0B" w:rsidP="007B70DB">
            <w:pPr>
              <w:jc w:val="center"/>
              <w:rPr>
                <w:b/>
              </w:rPr>
            </w:pPr>
            <w:r w:rsidRPr="003F3B0B">
              <w:rPr>
                <w:b/>
              </w:rPr>
              <w:t>C</w:t>
            </w:r>
          </w:p>
        </w:tc>
        <w:tc>
          <w:tcPr>
            <w:tcW w:w="1431" w:type="dxa"/>
            <w:tcBorders>
              <w:top w:val="single" w:sz="4" w:space="0" w:color="auto"/>
              <w:bottom w:val="nil"/>
            </w:tcBorders>
            <w:vAlign w:val="center"/>
          </w:tcPr>
          <w:p w14:paraId="5C338770" w14:textId="77777777" w:rsidR="003F3B0B" w:rsidRPr="003F3B0B" w:rsidRDefault="003F3B0B" w:rsidP="007B70DB">
            <w:pPr>
              <w:jc w:val="center"/>
              <w:rPr>
                <w:b/>
              </w:rPr>
            </w:pPr>
            <w:r w:rsidRPr="003F3B0B">
              <w:rPr>
                <w:b/>
              </w:rPr>
              <w:t>B</w:t>
            </w:r>
          </w:p>
        </w:tc>
        <w:tc>
          <w:tcPr>
            <w:tcW w:w="1387" w:type="dxa"/>
            <w:tcBorders>
              <w:top w:val="single" w:sz="4" w:space="0" w:color="auto"/>
              <w:bottom w:val="nil"/>
              <w:right w:val="single" w:sz="4" w:space="0" w:color="auto"/>
            </w:tcBorders>
            <w:vAlign w:val="center"/>
          </w:tcPr>
          <w:p w14:paraId="3FDFB312" w14:textId="77777777" w:rsidR="003F3B0B" w:rsidRPr="003F3B0B" w:rsidRDefault="003F3B0B" w:rsidP="007B70DB">
            <w:pPr>
              <w:jc w:val="center"/>
              <w:rPr>
                <w:b/>
              </w:rPr>
            </w:pPr>
            <w:r w:rsidRPr="003F3B0B">
              <w:rPr>
                <w:b/>
              </w:rPr>
              <w:t>C</w:t>
            </w:r>
          </w:p>
        </w:tc>
        <w:tc>
          <w:tcPr>
            <w:tcW w:w="1401" w:type="dxa"/>
            <w:tcBorders>
              <w:top w:val="single" w:sz="4" w:space="0" w:color="auto"/>
              <w:left w:val="single" w:sz="4" w:space="0" w:color="auto"/>
              <w:bottom w:val="nil"/>
            </w:tcBorders>
          </w:tcPr>
          <w:p w14:paraId="03E59C26" w14:textId="77777777" w:rsidR="003F3B0B" w:rsidRPr="003F3B0B" w:rsidRDefault="003F3B0B" w:rsidP="007B70DB">
            <w:pPr>
              <w:jc w:val="center"/>
              <w:rPr>
                <w:b/>
                <w:vertAlign w:val="subscript"/>
              </w:rPr>
            </w:pPr>
            <w:proofErr w:type="spellStart"/>
            <w:r w:rsidRPr="003F3B0B">
              <w:rPr>
                <w:rFonts w:cs="Times New Roman"/>
                <w:b/>
                <w:i/>
              </w:rPr>
              <w:t>Δκ</w:t>
            </w:r>
            <w:r w:rsidRPr="003F3B0B">
              <w:rPr>
                <w:rFonts w:cs="Times New Roman"/>
                <w:b/>
                <w:vertAlign w:val="subscript"/>
              </w:rPr>
              <w:t>th</w:t>
            </w:r>
            <w:proofErr w:type="spellEnd"/>
          </w:p>
        </w:tc>
      </w:tr>
      <w:tr w:rsidR="003F3B0B" w:rsidRPr="003F3B0B" w14:paraId="32DE0ECA" w14:textId="77777777" w:rsidTr="007B70DB">
        <w:trPr>
          <w:jc w:val="center"/>
        </w:trPr>
        <w:tc>
          <w:tcPr>
            <w:tcW w:w="1134" w:type="dxa"/>
            <w:tcBorders>
              <w:top w:val="nil"/>
              <w:bottom w:val="single" w:sz="4" w:space="0" w:color="auto"/>
              <w:right w:val="single" w:sz="4" w:space="0" w:color="auto"/>
            </w:tcBorders>
            <w:vAlign w:val="center"/>
          </w:tcPr>
          <w:p w14:paraId="2371463E" w14:textId="77777777" w:rsidR="003F3B0B" w:rsidRPr="003F3B0B" w:rsidRDefault="003F3B0B" w:rsidP="007B70DB">
            <w:pPr>
              <w:jc w:val="center"/>
              <w:rPr>
                <w:b/>
              </w:rPr>
            </w:pPr>
          </w:p>
        </w:tc>
        <w:tc>
          <w:tcPr>
            <w:tcW w:w="3931" w:type="dxa"/>
            <w:gridSpan w:val="3"/>
            <w:tcBorders>
              <w:top w:val="nil"/>
              <w:left w:val="single" w:sz="4" w:space="0" w:color="auto"/>
              <w:bottom w:val="single" w:sz="4" w:space="0" w:color="auto"/>
              <w:right w:val="single" w:sz="4" w:space="0" w:color="auto"/>
            </w:tcBorders>
            <w:vAlign w:val="center"/>
          </w:tcPr>
          <w:p w14:paraId="4BA08C38" w14:textId="77777777" w:rsidR="003F3B0B" w:rsidRPr="003F3B0B" w:rsidRDefault="003F3B0B" w:rsidP="007B70DB">
            <w:pPr>
              <w:jc w:val="center"/>
              <w:rPr>
                <w:b/>
              </w:rPr>
            </w:pPr>
            <w:r w:rsidRPr="003F3B0B">
              <w:rPr>
                <w:b/>
              </w:rPr>
              <w:t>(PS)</w:t>
            </w:r>
          </w:p>
        </w:tc>
        <w:tc>
          <w:tcPr>
            <w:tcW w:w="2818" w:type="dxa"/>
            <w:gridSpan w:val="2"/>
            <w:tcBorders>
              <w:top w:val="nil"/>
              <w:bottom w:val="single" w:sz="4" w:space="0" w:color="auto"/>
              <w:right w:val="single" w:sz="4" w:space="0" w:color="auto"/>
            </w:tcBorders>
            <w:vAlign w:val="center"/>
          </w:tcPr>
          <w:p w14:paraId="6930160F" w14:textId="77777777" w:rsidR="003F3B0B" w:rsidRPr="003F3B0B" w:rsidRDefault="003F3B0B" w:rsidP="007B70DB">
            <w:pPr>
              <w:jc w:val="center"/>
              <w:rPr>
                <w:b/>
              </w:rPr>
            </w:pPr>
            <w:r w:rsidRPr="003F3B0B">
              <w:rPr>
                <w:b/>
              </w:rPr>
              <w:t>(GS)</w:t>
            </w:r>
          </w:p>
        </w:tc>
        <w:tc>
          <w:tcPr>
            <w:tcW w:w="1401" w:type="dxa"/>
            <w:tcBorders>
              <w:top w:val="nil"/>
              <w:left w:val="single" w:sz="4" w:space="0" w:color="auto"/>
              <w:bottom w:val="single" w:sz="4" w:space="0" w:color="auto"/>
            </w:tcBorders>
          </w:tcPr>
          <w:p w14:paraId="74CB35DB" w14:textId="77777777" w:rsidR="003F3B0B" w:rsidRPr="003F3B0B" w:rsidRDefault="003F3B0B" w:rsidP="007B70DB">
            <w:pPr>
              <w:jc w:val="center"/>
              <w:rPr>
                <w:rFonts w:cs="Times New Roman"/>
                <w:b/>
                <w:i/>
              </w:rPr>
            </w:pPr>
          </w:p>
        </w:tc>
      </w:tr>
      <w:tr w:rsidR="003F3B0B" w:rsidRPr="003F3B0B" w14:paraId="631885C6" w14:textId="77777777" w:rsidTr="007B70DB">
        <w:trPr>
          <w:jc w:val="center"/>
        </w:trPr>
        <w:tc>
          <w:tcPr>
            <w:tcW w:w="1134" w:type="dxa"/>
            <w:tcBorders>
              <w:top w:val="single" w:sz="4" w:space="0" w:color="auto"/>
              <w:right w:val="single" w:sz="4" w:space="0" w:color="auto"/>
            </w:tcBorders>
            <w:vAlign w:val="center"/>
          </w:tcPr>
          <w:p w14:paraId="0BEA3B5F" w14:textId="77777777" w:rsidR="003F3B0B" w:rsidRPr="003F3B0B" w:rsidRDefault="003F3B0B" w:rsidP="007B70DB">
            <w:pPr>
              <w:jc w:val="center"/>
            </w:pPr>
            <w:r w:rsidRPr="003F3B0B">
              <w:t>6 inch</w:t>
            </w:r>
          </w:p>
        </w:tc>
        <w:tc>
          <w:tcPr>
            <w:tcW w:w="1452" w:type="dxa"/>
            <w:tcBorders>
              <w:top w:val="single" w:sz="4" w:space="0" w:color="auto"/>
              <w:left w:val="single" w:sz="4" w:space="0" w:color="auto"/>
            </w:tcBorders>
            <w:vAlign w:val="center"/>
          </w:tcPr>
          <w:p w14:paraId="33F452C6" w14:textId="77777777" w:rsidR="003F3B0B" w:rsidRPr="003F3B0B" w:rsidRDefault="003F3B0B" w:rsidP="007B70DB">
            <w:pPr>
              <w:jc w:val="center"/>
            </w:pPr>
            <w:r w:rsidRPr="003F3B0B">
              <w:t xml:space="preserve">3.9 </w:t>
            </w:r>
            <w:r w:rsidRPr="003F3B0B">
              <w:rPr>
                <w:rFonts w:cs="Times New Roman"/>
              </w:rPr>
              <w:t>× 10</w:t>
            </w:r>
            <w:r w:rsidRPr="003F3B0B">
              <w:rPr>
                <w:rFonts w:cs="Times New Roman"/>
                <w:vertAlign w:val="superscript"/>
              </w:rPr>
              <w:t>3</w:t>
            </w:r>
          </w:p>
        </w:tc>
        <w:tc>
          <w:tcPr>
            <w:tcW w:w="1134" w:type="dxa"/>
            <w:tcBorders>
              <w:top w:val="single" w:sz="4" w:space="0" w:color="auto"/>
            </w:tcBorders>
            <w:vAlign w:val="center"/>
          </w:tcPr>
          <w:p w14:paraId="3F1856AA" w14:textId="77777777" w:rsidR="003F3B0B" w:rsidRPr="003F3B0B" w:rsidRDefault="003F3B0B" w:rsidP="007B70DB">
            <w:pPr>
              <w:jc w:val="center"/>
            </w:pPr>
            <w:r w:rsidRPr="003F3B0B">
              <w:t>7.2</w:t>
            </w:r>
          </w:p>
        </w:tc>
        <w:tc>
          <w:tcPr>
            <w:tcW w:w="1345" w:type="dxa"/>
            <w:tcBorders>
              <w:top w:val="single" w:sz="4" w:space="0" w:color="auto"/>
              <w:right w:val="single" w:sz="4" w:space="0" w:color="auto"/>
            </w:tcBorders>
            <w:vAlign w:val="center"/>
          </w:tcPr>
          <w:p w14:paraId="23C17E58" w14:textId="77777777" w:rsidR="003F3B0B" w:rsidRPr="003F3B0B" w:rsidRDefault="003F3B0B" w:rsidP="007B70DB">
            <w:pPr>
              <w:jc w:val="center"/>
            </w:pPr>
            <w:r w:rsidRPr="003F3B0B">
              <w:t xml:space="preserve">-4.3 </w:t>
            </w:r>
            <w:r w:rsidRPr="003F3B0B">
              <w:rPr>
                <w:rFonts w:cs="Times New Roman"/>
              </w:rPr>
              <w:t>× 10</w:t>
            </w:r>
            <w:r w:rsidRPr="003F3B0B">
              <w:rPr>
                <w:rFonts w:cs="Times New Roman"/>
                <w:vertAlign w:val="superscript"/>
              </w:rPr>
              <w:t>-3</w:t>
            </w:r>
          </w:p>
        </w:tc>
        <w:tc>
          <w:tcPr>
            <w:tcW w:w="1431" w:type="dxa"/>
            <w:tcBorders>
              <w:top w:val="single" w:sz="4" w:space="0" w:color="auto"/>
            </w:tcBorders>
            <w:vAlign w:val="center"/>
          </w:tcPr>
          <w:p w14:paraId="5118AD7D" w14:textId="77777777" w:rsidR="003F3B0B" w:rsidRPr="003F3B0B" w:rsidRDefault="003F3B0B" w:rsidP="007B70DB">
            <w:pPr>
              <w:jc w:val="center"/>
            </w:pPr>
            <w:r w:rsidRPr="003F3B0B">
              <w:t xml:space="preserve">1.1 </w:t>
            </w:r>
            <w:r w:rsidRPr="003F3B0B">
              <w:rPr>
                <w:rFonts w:cs="Times New Roman"/>
              </w:rPr>
              <w:t>× 10</w:t>
            </w:r>
            <w:r w:rsidRPr="003F3B0B">
              <w:rPr>
                <w:rFonts w:cs="Times New Roman"/>
                <w:vertAlign w:val="superscript"/>
              </w:rPr>
              <w:t>3</w:t>
            </w:r>
          </w:p>
        </w:tc>
        <w:tc>
          <w:tcPr>
            <w:tcW w:w="1387" w:type="dxa"/>
            <w:tcBorders>
              <w:top w:val="single" w:sz="4" w:space="0" w:color="auto"/>
              <w:right w:val="single" w:sz="4" w:space="0" w:color="auto"/>
            </w:tcBorders>
            <w:vAlign w:val="center"/>
          </w:tcPr>
          <w:p w14:paraId="3AC4851A" w14:textId="77777777" w:rsidR="003F3B0B" w:rsidRPr="003F3B0B" w:rsidRDefault="003F3B0B" w:rsidP="007B70DB">
            <w:pPr>
              <w:jc w:val="center"/>
            </w:pPr>
            <w:r w:rsidRPr="003F3B0B">
              <w:t>-9.7</w:t>
            </w:r>
          </w:p>
        </w:tc>
        <w:tc>
          <w:tcPr>
            <w:tcW w:w="1401" w:type="dxa"/>
            <w:tcBorders>
              <w:top w:val="single" w:sz="4" w:space="0" w:color="auto"/>
              <w:left w:val="single" w:sz="4" w:space="0" w:color="auto"/>
            </w:tcBorders>
          </w:tcPr>
          <w:p w14:paraId="2033177B" w14:textId="77777777" w:rsidR="003F3B0B" w:rsidRPr="003F3B0B" w:rsidRDefault="003F3B0B" w:rsidP="007B70DB">
            <w:pPr>
              <w:pStyle w:val="Caption"/>
            </w:pPr>
            <w:r w:rsidRPr="003F3B0B">
              <w:rPr>
                <w:rFonts w:cs="Times New Roman"/>
              </w:rPr>
              <w:t>8.9 × 10</w:t>
            </w:r>
            <w:r w:rsidRPr="003F3B0B">
              <w:rPr>
                <w:rFonts w:cs="Times New Roman"/>
                <w:vertAlign w:val="superscript"/>
              </w:rPr>
              <w:t>-3</w:t>
            </w:r>
          </w:p>
        </w:tc>
      </w:tr>
      <w:tr w:rsidR="003F3B0B" w:rsidRPr="003F3B0B" w14:paraId="4E3BDF6C" w14:textId="77777777" w:rsidTr="007B70DB">
        <w:trPr>
          <w:trHeight w:val="776"/>
          <w:jc w:val="center"/>
        </w:trPr>
        <w:tc>
          <w:tcPr>
            <w:tcW w:w="1134" w:type="dxa"/>
            <w:tcBorders>
              <w:bottom w:val="nil"/>
              <w:right w:val="single" w:sz="4" w:space="0" w:color="auto"/>
            </w:tcBorders>
            <w:vAlign w:val="center"/>
          </w:tcPr>
          <w:p w14:paraId="3ED0F0B2" w14:textId="77777777" w:rsidR="003F3B0B" w:rsidRPr="003F3B0B" w:rsidRDefault="003F3B0B" w:rsidP="007B70DB">
            <w:pPr>
              <w:jc w:val="center"/>
            </w:pPr>
            <w:r w:rsidRPr="003F3B0B">
              <w:t>9 inch</w:t>
            </w:r>
          </w:p>
        </w:tc>
        <w:tc>
          <w:tcPr>
            <w:tcW w:w="1452" w:type="dxa"/>
            <w:tcBorders>
              <w:left w:val="single" w:sz="4" w:space="0" w:color="auto"/>
              <w:bottom w:val="nil"/>
            </w:tcBorders>
            <w:vAlign w:val="center"/>
          </w:tcPr>
          <w:p w14:paraId="70AEA87D" w14:textId="77777777" w:rsidR="003F3B0B" w:rsidRPr="003F3B0B" w:rsidRDefault="003F3B0B" w:rsidP="007B70DB">
            <w:pPr>
              <w:jc w:val="center"/>
            </w:pPr>
            <w:r w:rsidRPr="003F3B0B">
              <w:t xml:space="preserve">1.0 </w:t>
            </w:r>
            <w:r w:rsidRPr="003F3B0B">
              <w:rPr>
                <w:rFonts w:cs="Times New Roman"/>
              </w:rPr>
              <w:t>× 10</w:t>
            </w:r>
            <w:r w:rsidRPr="003F3B0B">
              <w:rPr>
                <w:rFonts w:cs="Times New Roman"/>
                <w:vertAlign w:val="superscript"/>
              </w:rPr>
              <w:t>3</w:t>
            </w:r>
          </w:p>
        </w:tc>
        <w:tc>
          <w:tcPr>
            <w:tcW w:w="1134" w:type="dxa"/>
            <w:tcBorders>
              <w:bottom w:val="nil"/>
            </w:tcBorders>
            <w:vAlign w:val="center"/>
          </w:tcPr>
          <w:p w14:paraId="7782BCB7" w14:textId="77777777" w:rsidR="003F3B0B" w:rsidRPr="003F3B0B" w:rsidRDefault="003F3B0B" w:rsidP="007B70DB">
            <w:pPr>
              <w:jc w:val="center"/>
            </w:pPr>
            <w:r w:rsidRPr="003F3B0B">
              <w:t>11.4</w:t>
            </w:r>
          </w:p>
        </w:tc>
        <w:tc>
          <w:tcPr>
            <w:tcW w:w="1345" w:type="dxa"/>
            <w:tcBorders>
              <w:bottom w:val="nil"/>
              <w:right w:val="single" w:sz="4" w:space="0" w:color="auto"/>
            </w:tcBorders>
            <w:vAlign w:val="center"/>
          </w:tcPr>
          <w:p w14:paraId="6D8EBBAD" w14:textId="77777777" w:rsidR="003F3B0B" w:rsidRPr="003F3B0B" w:rsidRDefault="003F3B0B" w:rsidP="007B70DB">
            <w:pPr>
              <w:jc w:val="center"/>
            </w:pPr>
            <w:r w:rsidRPr="003F3B0B">
              <w:t xml:space="preserve">-2.2 </w:t>
            </w:r>
            <w:r w:rsidRPr="003F3B0B">
              <w:rPr>
                <w:rFonts w:cs="Times New Roman"/>
              </w:rPr>
              <w:t>× 10</w:t>
            </w:r>
            <w:r w:rsidRPr="003F3B0B">
              <w:rPr>
                <w:rFonts w:cs="Times New Roman"/>
                <w:vertAlign w:val="superscript"/>
              </w:rPr>
              <w:t>-3</w:t>
            </w:r>
          </w:p>
        </w:tc>
        <w:tc>
          <w:tcPr>
            <w:tcW w:w="1431" w:type="dxa"/>
            <w:tcBorders>
              <w:bottom w:val="nil"/>
            </w:tcBorders>
            <w:vAlign w:val="center"/>
          </w:tcPr>
          <w:p w14:paraId="17C2DE27" w14:textId="77777777" w:rsidR="003F3B0B" w:rsidRPr="003F3B0B" w:rsidRDefault="003F3B0B" w:rsidP="007B70DB">
            <w:pPr>
              <w:jc w:val="center"/>
            </w:pPr>
            <w:r w:rsidRPr="003F3B0B">
              <w:t xml:space="preserve">1.7 </w:t>
            </w:r>
            <w:r w:rsidRPr="003F3B0B">
              <w:rPr>
                <w:rFonts w:cs="Times New Roman"/>
              </w:rPr>
              <w:t>× 10</w:t>
            </w:r>
            <w:r w:rsidRPr="003F3B0B">
              <w:rPr>
                <w:rFonts w:cs="Times New Roman"/>
                <w:vertAlign w:val="superscript"/>
              </w:rPr>
              <w:t>3</w:t>
            </w:r>
          </w:p>
        </w:tc>
        <w:tc>
          <w:tcPr>
            <w:tcW w:w="1387" w:type="dxa"/>
            <w:tcBorders>
              <w:bottom w:val="nil"/>
              <w:right w:val="single" w:sz="4" w:space="0" w:color="auto"/>
            </w:tcBorders>
            <w:vAlign w:val="center"/>
          </w:tcPr>
          <w:p w14:paraId="29D12CDA" w14:textId="77777777" w:rsidR="003F3B0B" w:rsidRPr="003F3B0B" w:rsidRDefault="003F3B0B" w:rsidP="007B70DB">
            <w:pPr>
              <w:jc w:val="center"/>
            </w:pPr>
            <w:r w:rsidRPr="003F3B0B">
              <w:t>-8.9</w:t>
            </w:r>
          </w:p>
        </w:tc>
        <w:tc>
          <w:tcPr>
            <w:tcW w:w="1401" w:type="dxa"/>
            <w:tcBorders>
              <w:left w:val="single" w:sz="4" w:space="0" w:color="auto"/>
              <w:bottom w:val="nil"/>
            </w:tcBorders>
          </w:tcPr>
          <w:p w14:paraId="58B260E4" w14:textId="77777777" w:rsidR="003F3B0B" w:rsidRPr="003F3B0B" w:rsidRDefault="003F3B0B" w:rsidP="007B70DB">
            <w:pPr>
              <w:pStyle w:val="Caption"/>
            </w:pPr>
            <w:r w:rsidRPr="003F3B0B">
              <w:rPr>
                <w:rFonts w:cs="Times New Roman"/>
              </w:rPr>
              <w:t>5.5 × 10</w:t>
            </w:r>
            <w:r w:rsidRPr="003F3B0B">
              <w:rPr>
                <w:rFonts w:cs="Times New Roman"/>
                <w:vertAlign w:val="superscript"/>
              </w:rPr>
              <w:t>-3</w:t>
            </w:r>
          </w:p>
        </w:tc>
      </w:tr>
      <w:tr w:rsidR="003F3B0B" w:rsidRPr="003F3B0B" w14:paraId="35B2061F" w14:textId="77777777" w:rsidTr="007B70DB">
        <w:trPr>
          <w:jc w:val="center"/>
        </w:trPr>
        <w:tc>
          <w:tcPr>
            <w:tcW w:w="1134" w:type="dxa"/>
            <w:tcBorders>
              <w:top w:val="nil"/>
              <w:bottom w:val="single" w:sz="4" w:space="0" w:color="auto"/>
              <w:right w:val="single" w:sz="4" w:space="0" w:color="auto"/>
            </w:tcBorders>
            <w:vAlign w:val="center"/>
          </w:tcPr>
          <w:p w14:paraId="69F70ED8" w14:textId="77777777" w:rsidR="003F3B0B" w:rsidRPr="003F3B0B" w:rsidRDefault="003F3B0B" w:rsidP="007B70DB">
            <w:pPr>
              <w:jc w:val="center"/>
            </w:pPr>
            <w:r w:rsidRPr="003F3B0B">
              <w:t>11 inch</w:t>
            </w:r>
          </w:p>
        </w:tc>
        <w:tc>
          <w:tcPr>
            <w:tcW w:w="1452" w:type="dxa"/>
            <w:tcBorders>
              <w:top w:val="nil"/>
              <w:left w:val="single" w:sz="4" w:space="0" w:color="auto"/>
              <w:bottom w:val="single" w:sz="4" w:space="0" w:color="auto"/>
            </w:tcBorders>
            <w:vAlign w:val="center"/>
          </w:tcPr>
          <w:p w14:paraId="460161CA" w14:textId="77777777" w:rsidR="003F3B0B" w:rsidRPr="003F3B0B" w:rsidRDefault="003F3B0B" w:rsidP="007B70DB">
            <w:pPr>
              <w:jc w:val="center"/>
            </w:pPr>
            <w:r w:rsidRPr="003F3B0B">
              <w:t xml:space="preserve">1.8 </w:t>
            </w:r>
            <w:r w:rsidRPr="003F3B0B">
              <w:rPr>
                <w:rFonts w:cs="Times New Roman"/>
              </w:rPr>
              <w:t>× 10</w:t>
            </w:r>
            <w:r w:rsidRPr="003F3B0B">
              <w:rPr>
                <w:rFonts w:cs="Times New Roman"/>
                <w:vertAlign w:val="superscript"/>
              </w:rPr>
              <w:t>4</w:t>
            </w:r>
          </w:p>
        </w:tc>
        <w:tc>
          <w:tcPr>
            <w:tcW w:w="1134" w:type="dxa"/>
            <w:tcBorders>
              <w:top w:val="nil"/>
              <w:bottom w:val="single" w:sz="4" w:space="0" w:color="auto"/>
            </w:tcBorders>
            <w:vAlign w:val="center"/>
          </w:tcPr>
          <w:p w14:paraId="3E115CBF" w14:textId="77777777" w:rsidR="003F3B0B" w:rsidRPr="003F3B0B" w:rsidRDefault="003F3B0B" w:rsidP="007B70DB">
            <w:pPr>
              <w:jc w:val="center"/>
            </w:pPr>
            <w:r w:rsidRPr="003F3B0B">
              <w:t>18.7</w:t>
            </w:r>
          </w:p>
        </w:tc>
        <w:tc>
          <w:tcPr>
            <w:tcW w:w="1345" w:type="dxa"/>
            <w:tcBorders>
              <w:top w:val="nil"/>
              <w:bottom w:val="single" w:sz="4" w:space="0" w:color="auto"/>
              <w:right w:val="single" w:sz="4" w:space="0" w:color="auto"/>
            </w:tcBorders>
            <w:vAlign w:val="center"/>
          </w:tcPr>
          <w:p w14:paraId="3B1FE779" w14:textId="77777777" w:rsidR="003F3B0B" w:rsidRPr="003F3B0B" w:rsidRDefault="003F3B0B" w:rsidP="007B70DB">
            <w:pPr>
              <w:jc w:val="center"/>
            </w:pPr>
            <w:r w:rsidRPr="003F3B0B">
              <w:t xml:space="preserve">-0.6 </w:t>
            </w:r>
            <w:r w:rsidRPr="003F3B0B">
              <w:rPr>
                <w:rFonts w:cs="Times New Roman"/>
              </w:rPr>
              <w:t>× 10</w:t>
            </w:r>
            <w:r w:rsidRPr="003F3B0B">
              <w:rPr>
                <w:rFonts w:cs="Times New Roman"/>
                <w:vertAlign w:val="superscript"/>
              </w:rPr>
              <w:t>-3</w:t>
            </w:r>
          </w:p>
        </w:tc>
        <w:tc>
          <w:tcPr>
            <w:tcW w:w="1431" w:type="dxa"/>
            <w:tcBorders>
              <w:top w:val="nil"/>
              <w:bottom w:val="single" w:sz="4" w:space="0" w:color="auto"/>
            </w:tcBorders>
            <w:vAlign w:val="center"/>
          </w:tcPr>
          <w:p w14:paraId="51FFEFDD" w14:textId="77777777" w:rsidR="003F3B0B" w:rsidRPr="003F3B0B" w:rsidRDefault="003F3B0B" w:rsidP="007B70DB">
            <w:pPr>
              <w:jc w:val="center"/>
            </w:pPr>
            <w:r w:rsidRPr="003F3B0B">
              <w:t xml:space="preserve">1.9 </w:t>
            </w:r>
            <w:r w:rsidRPr="003F3B0B">
              <w:rPr>
                <w:rFonts w:cs="Times New Roman"/>
              </w:rPr>
              <w:t>× 10</w:t>
            </w:r>
            <w:r w:rsidRPr="003F3B0B">
              <w:rPr>
                <w:rFonts w:cs="Times New Roman"/>
                <w:vertAlign w:val="superscript"/>
              </w:rPr>
              <w:t>1</w:t>
            </w:r>
          </w:p>
        </w:tc>
        <w:tc>
          <w:tcPr>
            <w:tcW w:w="1387" w:type="dxa"/>
            <w:tcBorders>
              <w:top w:val="nil"/>
              <w:bottom w:val="single" w:sz="4" w:space="0" w:color="auto"/>
              <w:right w:val="single" w:sz="4" w:space="0" w:color="auto"/>
            </w:tcBorders>
            <w:vAlign w:val="center"/>
          </w:tcPr>
          <w:p w14:paraId="62A1C222" w14:textId="77777777" w:rsidR="003F3B0B" w:rsidRPr="003F3B0B" w:rsidRDefault="003F3B0B" w:rsidP="007B70DB">
            <w:pPr>
              <w:jc w:val="center"/>
            </w:pPr>
            <w:r w:rsidRPr="003F3B0B">
              <w:t xml:space="preserve">-0.6 </w:t>
            </w:r>
            <w:r w:rsidRPr="003F3B0B">
              <w:rPr>
                <w:rFonts w:cs="Times New Roman"/>
              </w:rPr>
              <w:t>× 10</w:t>
            </w:r>
            <w:r w:rsidRPr="003F3B0B">
              <w:rPr>
                <w:rFonts w:cs="Times New Roman"/>
                <w:vertAlign w:val="superscript"/>
              </w:rPr>
              <w:t>-3</w:t>
            </w:r>
          </w:p>
        </w:tc>
        <w:tc>
          <w:tcPr>
            <w:tcW w:w="1401" w:type="dxa"/>
            <w:tcBorders>
              <w:top w:val="nil"/>
              <w:left w:val="single" w:sz="4" w:space="0" w:color="auto"/>
              <w:bottom w:val="single" w:sz="4" w:space="0" w:color="auto"/>
            </w:tcBorders>
          </w:tcPr>
          <w:p w14:paraId="72A16BD0" w14:textId="77777777" w:rsidR="003F3B0B" w:rsidRPr="003F3B0B" w:rsidRDefault="003F3B0B" w:rsidP="007B70DB">
            <w:pPr>
              <w:pStyle w:val="Caption"/>
            </w:pPr>
            <w:r w:rsidRPr="003F3B0B">
              <w:rPr>
                <w:rFonts w:cs="Times New Roman"/>
              </w:rPr>
              <w:t>3.7 × 10</w:t>
            </w:r>
            <w:r w:rsidRPr="003F3B0B">
              <w:rPr>
                <w:rFonts w:cs="Times New Roman"/>
                <w:vertAlign w:val="superscript"/>
              </w:rPr>
              <w:t>-3</w:t>
            </w:r>
          </w:p>
        </w:tc>
      </w:tr>
    </w:tbl>
    <w:p w14:paraId="09A19AF9" w14:textId="77777777" w:rsidR="003F3B0B" w:rsidRPr="003F3B0B" w:rsidRDefault="003F3B0B" w:rsidP="003F3B0B"/>
    <w:p w14:paraId="17C2EF6B" w14:textId="77777777" w:rsidR="003F3B0B" w:rsidRPr="003F3B0B" w:rsidRDefault="003F3B0B" w:rsidP="003F3B0B"/>
    <w:p w14:paraId="2C678EC0" w14:textId="77777777" w:rsidR="003F3B0B" w:rsidRPr="003F3B0B" w:rsidRDefault="003F3B0B" w:rsidP="003F3B0B">
      <w:pPr>
        <w:pStyle w:val="Caption"/>
      </w:pPr>
    </w:p>
    <w:p w14:paraId="1BDC1C0A" w14:textId="77777777" w:rsidR="003F3B0B" w:rsidRPr="003F3B0B" w:rsidRDefault="003F3B0B" w:rsidP="003F3B0B">
      <w:pPr>
        <w:spacing w:after="200" w:line="276" w:lineRule="auto"/>
        <w:jc w:val="left"/>
        <w:rPr>
          <w:iCs/>
          <w:szCs w:val="18"/>
        </w:rPr>
      </w:pPr>
      <w:r w:rsidRPr="003F3B0B">
        <w:br w:type="page"/>
      </w:r>
    </w:p>
    <w:p w14:paraId="662C7FA0" w14:textId="77777777" w:rsidR="003F3B0B" w:rsidRPr="003F3B0B" w:rsidRDefault="003F3B0B" w:rsidP="003F3B0B">
      <w:pPr>
        <w:pStyle w:val="Caption"/>
      </w:pPr>
      <w:proofErr w:type="gramStart"/>
      <w:r w:rsidRPr="003F3B0B">
        <w:lastRenderedPageBreak/>
        <w:t xml:space="preserve">Table </w:t>
      </w:r>
      <w:r w:rsidRPr="003F3B0B">
        <w:fldChar w:fldCharType="begin"/>
      </w:r>
      <w:r w:rsidRPr="003F3B0B">
        <w:instrText xml:space="preserve"> SEQ Table \* ARABIC </w:instrText>
      </w:r>
      <w:r w:rsidRPr="003F3B0B">
        <w:fldChar w:fldCharType="separate"/>
      </w:r>
      <w:r w:rsidRPr="003F3B0B">
        <w:rPr>
          <w:noProof/>
        </w:rPr>
        <w:t>6</w:t>
      </w:r>
      <w:r w:rsidRPr="003F3B0B">
        <w:rPr>
          <w:noProof/>
        </w:rPr>
        <w:fldChar w:fldCharType="end"/>
      </w:r>
      <w:r w:rsidRPr="003F3B0B">
        <w:t>.</w:t>
      </w:r>
      <w:proofErr w:type="gramEnd"/>
      <w:r w:rsidRPr="003F3B0B">
        <w:t xml:space="preserve"> Maximum nub-groove contact displacements for each riser and load case.</w:t>
      </w:r>
    </w:p>
    <w:tbl>
      <w:tblPr>
        <w:tblStyle w:val="TableGrid"/>
        <w:tblW w:w="5912"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
        <w:gridCol w:w="1701"/>
        <w:gridCol w:w="1701"/>
        <w:gridCol w:w="1701"/>
      </w:tblGrid>
      <w:tr w:rsidR="003F3B0B" w:rsidRPr="003F3B0B" w14:paraId="08ADFF53" w14:textId="77777777" w:rsidTr="007B70DB">
        <w:trPr>
          <w:jc w:val="center"/>
        </w:trPr>
        <w:tc>
          <w:tcPr>
            <w:tcW w:w="809" w:type="dxa"/>
            <w:vMerge w:val="restart"/>
            <w:tcBorders>
              <w:top w:val="single" w:sz="4" w:space="0" w:color="auto"/>
              <w:bottom w:val="nil"/>
              <w:right w:val="single" w:sz="4" w:space="0" w:color="auto"/>
            </w:tcBorders>
            <w:vAlign w:val="center"/>
          </w:tcPr>
          <w:p w14:paraId="54290EB7" w14:textId="77777777" w:rsidR="003F3B0B" w:rsidRPr="003F3B0B" w:rsidRDefault="003F3B0B" w:rsidP="007B70DB">
            <w:pPr>
              <w:pStyle w:val="Quote"/>
              <w:rPr>
                <w:b/>
                <w:color w:val="auto"/>
              </w:rPr>
            </w:pPr>
            <w:r w:rsidRPr="003F3B0B">
              <w:rPr>
                <w:b/>
                <w:color w:val="auto"/>
              </w:rPr>
              <w:t>Load case</w:t>
            </w:r>
          </w:p>
        </w:tc>
        <w:tc>
          <w:tcPr>
            <w:tcW w:w="1701" w:type="dxa"/>
            <w:tcBorders>
              <w:top w:val="single" w:sz="4" w:space="0" w:color="auto"/>
              <w:left w:val="single" w:sz="4" w:space="0" w:color="auto"/>
              <w:bottom w:val="nil"/>
              <w:right w:val="single" w:sz="4" w:space="0" w:color="auto"/>
            </w:tcBorders>
            <w:vAlign w:val="center"/>
          </w:tcPr>
          <w:p w14:paraId="46266A68" w14:textId="77777777" w:rsidR="003F3B0B" w:rsidRPr="003F3B0B" w:rsidRDefault="003F3B0B" w:rsidP="007B70DB">
            <w:pPr>
              <w:pStyle w:val="Quote"/>
              <w:rPr>
                <w:rFonts w:cs="Times New Roman"/>
                <w:b/>
                <w:color w:val="auto"/>
              </w:rPr>
            </w:pPr>
            <w:r w:rsidRPr="003F3B0B">
              <w:rPr>
                <w:rFonts w:cs="Times New Roman"/>
                <w:b/>
                <w:color w:val="auto"/>
              </w:rPr>
              <w:t>6 inch riser</w:t>
            </w:r>
          </w:p>
        </w:tc>
        <w:tc>
          <w:tcPr>
            <w:tcW w:w="1701" w:type="dxa"/>
            <w:tcBorders>
              <w:top w:val="single" w:sz="4" w:space="0" w:color="auto"/>
              <w:left w:val="single" w:sz="4" w:space="0" w:color="auto"/>
              <w:bottom w:val="nil"/>
              <w:right w:val="single" w:sz="4" w:space="0" w:color="auto"/>
            </w:tcBorders>
            <w:vAlign w:val="center"/>
          </w:tcPr>
          <w:p w14:paraId="4ACCEF26" w14:textId="77777777" w:rsidR="003F3B0B" w:rsidRPr="003F3B0B" w:rsidRDefault="003F3B0B" w:rsidP="007B70DB">
            <w:pPr>
              <w:pStyle w:val="Quote"/>
              <w:rPr>
                <w:rFonts w:cs="Times New Roman"/>
                <w:b/>
                <w:color w:val="auto"/>
              </w:rPr>
            </w:pPr>
            <w:r w:rsidRPr="003F3B0B">
              <w:rPr>
                <w:rFonts w:cs="Times New Roman"/>
                <w:b/>
                <w:color w:val="auto"/>
              </w:rPr>
              <w:t>9 inch riser</w:t>
            </w:r>
          </w:p>
        </w:tc>
        <w:tc>
          <w:tcPr>
            <w:tcW w:w="1701" w:type="dxa"/>
            <w:tcBorders>
              <w:top w:val="single" w:sz="4" w:space="0" w:color="auto"/>
              <w:left w:val="single" w:sz="4" w:space="0" w:color="auto"/>
              <w:bottom w:val="nil"/>
            </w:tcBorders>
          </w:tcPr>
          <w:p w14:paraId="32FF56B4" w14:textId="77777777" w:rsidR="003F3B0B" w:rsidRPr="003F3B0B" w:rsidRDefault="003F3B0B" w:rsidP="007B70DB">
            <w:pPr>
              <w:pStyle w:val="Quote"/>
              <w:rPr>
                <w:rFonts w:cs="Times New Roman"/>
                <w:b/>
                <w:color w:val="auto"/>
              </w:rPr>
            </w:pPr>
            <w:r w:rsidRPr="003F3B0B">
              <w:rPr>
                <w:rFonts w:cs="Times New Roman"/>
                <w:b/>
                <w:color w:val="auto"/>
              </w:rPr>
              <w:t>11 inch riser</w:t>
            </w:r>
          </w:p>
        </w:tc>
      </w:tr>
      <w:tr w:rsidR="003F3B0B" w:rsidRPr="003F3B0B" w14:paraId="54CAC5FC" w14:textId="77777777" w:rsidTr="007B70DB">
        <w:trPr>
          <w:jc w:val="center"/>
        </w:trPr>
        <w:tc>
          <w:tcPr>
            <w:tcW w:w="809" w:type="dxa"/>
            <w:vMerge/>
            <w:tcBorders>
              <w:top w:val="nil"/>
              <w:bottom w:val="single" w:sz="4" w:space="0" w:color="auto"/>
              <w:right w:val="single" w:sz="4" w:space="0" w:color="auto"/>
            </w:tcBorders>
            <w:vAlign w:val="center"/>
          </w:tcPr>
          <w:p w14:paraId="1628D504" w14:textId="77777777" w:rsidR="003F3B0B" w:rsidRPr="003F3B0B" w:rsidRDefault="003F3B0B" w:rsidP="007B70DB">
            <w:pPr>
              <w:pStyle w:val="Quote"/>
              <w:rPr>
                <w:b/>
                <w:color w:val="auto"/>
              </w:rPr>
            </w:pPr>
          </w:p>
        </w:tc>
        <w:tc>
          <w:tcPr>
            <w:tcW w:w="1701" w:type="dxa"/>
            <w:tcBorders>
              <w:top w:val="nil"/>
              <w:left w:val="single" w:sz="4" w:space="0" w:color="auto"/>
              <w:bottom w:val="single" w:sz="4" w:space="0" w:color="auto"/>
              <w:right w:val="single" w:sz="4" w:space="0" w:color="auto"/>
            </w:tcBorders>
            <w:vAlign w:val="center"/>
          </w:tcPr>
          <w:p w14:paraId="3780C755" w14:textId="77777777" w:rsidR="003F3B0B" w:rsidRPr="003F3B0B" w:rsidRDefault="003F3B0B" w:rsidP="007B70DB">
            <w:pPr>
              <w:pStyle w:val="Quote"/>
              <w:rPr>
                <w:b/>
                <w:color w:val="auto"/>
              </w:rPr>
            </w:pPr>
            <w:proofErr w:type="spellStart"/>
            <w:r w:rsidRPr="003F3B0B">
              <w:rPr>
                <w:rFonts w:cs="Times New Roman"/>
                <w:b/>
                <w:i/>
                <w:color w:val="auto"/>
              </w:rPr>
              <w:t>δ</w:t>
            </w:r>
            <w:r w:rsidRPr="003F3B0B">
              <w:rPr>
                <w:b/>
                <w:color w:val="auto"/>
                <w:vertAlign w:val="subscript"/>
              </w:rPr>
              <w:t>max</w:t>
            </w:r>
            <w:proofErr w:type="spellEnd"/>
            <w:r w:rsidRPr="003F3B0B">
              <w:rPr>
                <w:b/>
                <w:color w:val="auto"/>
                <w:vertAlign w:val="subscript"/>
              </w:rPr>
              <w:t xml:space="preserve"> </w:t>
            </w:r>
            <w:r w:rsidRPr="003F3B0B">
              <w:rPr>
                <w:b/>
                <w:color w:val="auto"/>
              </w:rPr>
              <w:t>(</w:t>
            </w:r>
            <w:proofErr w:type="spellStart"/>
            <w:r w:rsidRPr="003F3B0B">
              <w:rPr>
                <w:rFonts w:cs="Times New Roman"/>
                <w:b/>
                <w:color w:val="auto"/>
              </w:rPr>
              <w:t>μ</w:t>
            </w:r>
            <w:r w:rsidRPr="003F3B0B">
              <w:rPr>
                <w:b/>
                <w:color w:val="auto"/>
              </w:rPr>
              <w:t>m</w:t>
            </w:r>
            <w:proofErr w:type="spellEnd"/>
            <w:r w:rsidRPr="003F3B0B">
              <w:rPr>
                <w:b/>
                <w:color w:val="auto"/>
              </w:rPr>
              <w:t>)</w:t>
            </w:r>
          </w:p>
        </w:tc>
        <w:tc>
          <w:tcPr>
            <w:tcW w:w="1701" w:type="dxa"/>
            <w:tcBorders>
              <w:top w:val="nil"/>
              <w:left w:val="single" w:sz="4" w:space="0" w:color="auto"/>
              <w:bottom w:val="single" w:sz="4" w:space="0" w:color="auto"/>
              <w:right w:val="single" w:sz="4" w:space="0" w:color="auto"/>
            </w:tcBorders>
            <w:vAlign w:val="center"/>
          </w:tcPr>
          <w:p w14:paraId="626BC94A" w14:textId="77777777" w:rsidR="003F3B0B" w:rsidRPr="003F3B0B" w:rsidRDefault="003F3B0B" w:rsidP="007B70DB">
            <w:pPr>
              <w:pStyle w:val="Quote"/>
              <w:rPr>
                <w:b/>
                <w:color w:val="auto"/>
              </w:rPr>
            </w:pPr>
            <w:proofErr w:type="spellStart"/>
            <w:r w:rsidRPr="003F3B0B">
              <w:rPr>
                <w:rFonts w:cs="Times New Roman"/>
                <w:b/>
                <w:i/>
                <w:color w:val="auto"/>
              </w:rPr>
              <w:t>δ</w:t>
            </w:r>
            <w:r w:rsidRPr="003F3B0B">
              <w:rPr>
                <w:b/>
                <w:color w:val="auto"/>
                <w:vertAlign w:val="subscript"/>
              </w:rPr>
              <w:t>max</w:t>
            </w:r>
            <w:proofErr w:type="spellEnd"/>
            <w:r w:rsidRPr="003F3B0B">
              <w:rPr>
                <w:b/>
                <w:color w:val="auto"/>
                <w:vertAlign w:val="subscript"/>
              </w:rPr>
              <w:t xml:space="preserve"> </w:t>
            </w:r>
            <w:r w:rsidRPr="003F3B0B">
              <w:rPr>
                <w:b/>
                <w:color w:val="auto"/>
              </w:rPr>
              <w:t>(</w:t>
            </w:r>
            <w:proofErr w:type="spellStart"/>
            <w:r w:rsidRPr="003F3B0B">
              <w:rPr>
                <w:rFonts w:cs="Times New Roman"/>
                <w:b/>
                <w:color w:val="auto"/>
              </w:rPr>
              <w:t>μ</w:t>
            </w:r>
            <w:r w:rsidRPr="003F3B0B">
              <w:rPr>
                <w:b/>
                <w:color w:val="auto"/>
              </w:rPr>
              <w:t>m</w:t>
            </w:r>
            <w:proofErr w:type="spellEnd"/>
            <w:r w:rsidRPr="003F3B0B">
              <w:rPr>
                <w:b/>
                <w:color w:val="auto"/>
              </w:rPr>
              <w:t>)</w:t>
            </w:r>
          </w:p>
        </w:tc>
        <w:tc>
          <w:tcPr>
            <w:tcW w:w="1701" w:type="dxa"/>
            <w:tcBorders>
              <w:top w:val="nil"/>
              <w:left w:val="single" w:sz="4" w:space="0" w:color="auto"/>
              <w:bottom w:val="single" w:sz="4" w:space="0" w:color="auto"/>
            </w:tcBorders>
            <w:vAlign w:val="center"/>
          </w:tcPr>
          <w:p w14:paraId="5C160BAD" w14:textId="77777777" w:rsidR="003F3B0B" w:rsidRPr="003F3B0B" w:rsidRDefault="003F3B0B" w:rsidP="007B70DB">
            <w:pPr>
              <w:pStyle w:val="Quote"/>
              <w:rPr>
                <w:b/>
                <w:color w:val="auto"/>
              </w:rPr>
            </w:pPr>
            <w:proofErr w:type="spellStart"/>
            <w:r w:rsidRPr="003F3B0B">
              <w:rPr>
                <w:rFonts w:cs="Times New Roman"/>
                <w:b/>
                <w:i/>
                <w:color w:val="auto"/>
              </w:rPr>
              <w:t>δ</w:t>
            </w:r>
            <w:r w:rsidRPr="003F3B0B">
              <w:rPr>
                <w:b/>
                <w:color w:val="auto"/>
                <w:vertAlign w:val="subscript"/>
              </w:rPr>
              <w:t>max</w:t>
            </w:r>
            <w:proofErr w:type="spellEnd"/>
            <w:r w:rsidRPr="003F3B0B">
              <w:rPr>
                <w:b/>
                <w:color w:val="auto"/>
                <w:vertAlign w:val="subscript"/>
              </w:rPr>
              <w:t xml:space="preserve"> </w:t>
            </w:r>
            <w:r w:rsidRPr="003F3B0B">
              <w:rPr>
                <w:b/>
                <w:color w:val="auto"/>
              </w:rPr>
              <w:t>(</w:t>
            </w:r>
            <w:proofErr w:type="spellStart"/>
            <w:r w:rsidRPr="003F3B0B">
              <w:rPr>
                <w:rFonts w:cs="Times New Roman"/>
                <w:b/>
                <w:color w:val="auto"/>
              </w:rPr>
              <w:t>μ</w:t>
            </w:r>
            <w:r w:rsidRPr="003F3B0B">
              <w:rPr>
                <w:b/>
                <w:color w:val="auto"/>
              </w:rPr>
              <w:t>m</w:t>
            </w:r>
            <w:proofErr w:type="spellEnd"/>
            <w:r w:rsidRPr="003F3B0B">
              <w:rPr>
                <w:b/>
                <w:color w:val="auto"/>
              </w:rPr>
              <w:t>)</w:t>
            </w:r>
          </w:p>
        </w:tc>
      </w:tr>
      <w:tr w:rsidR="003F3B0B" w:rsidRPr="003F3B0B" w14:paraId="78EDBCDD" w14:textId="77777777" w:rsidTr="007B70DB">
        <w:trPr>
          <w:jc w:val="center"/>
        </w:trPr>
        <w:tc>
          <w:tcPr>
            <w:tcW w:w="809" w:type="dxa"/>
            <w:tcBorders>
              <w:top w:val="single" w:sz="4" w:space="0" w:color="auto"/>
              <w:bottom w:val="nil"/>
              <w:right w:val="single" w:sz="4" w:space="0" w:color="auto"/>
            </w:tcBorders>
            <w:vAlign w:val="center"/>
          </w:tcPr>
          <w:p w14:paraId="021A4219" w14:textId="77777777" w:rsidR="003F3B0B" w:rsidRPr="003F3B0B" w:rsidRDefault="003F3B0B" w:rsidP="007B70DB">
            <w:pPr>
              <w:pStyle w:val="Quote"/>
              <w:rPr>
                <w:color w:val="auto"/>
              </w:rPr>
            </w:pPr>
            <w:r w:rsidRPr="003F3B0B">
              <w:rPr>
                <w:color w:val="auto"/>
              </w:rPr>
              <w:t>1</w:t>
            </w:r>
          </w:p>
        </w:tc>
        <w:tc>
          <w:tcPr>
            <w:tcW w:w="1701" w:type="dxa"/>
            <w:tcBorders>
              <w:top w:val="single" w:sz="4" w:space="0" w:color="auto"/>
              <w:left w:val="single" w:sz="4" w:space="0" w:color="auto"/>
              <w:bottom w:val="nil"/>
              <w:right w:val="single" w:sz="4" w:space="0" w:color="auto"/>
            </w:tcBorders>
            <w:vAlign w:val="center"/>
          </w:tcPr>
          <w:p w14:paraId="44665BA0" w14:textId="77777777" w:rsidR="003F3B0B" w:rsidRPr="003F3B0B" w:rsidRDefault="003F3B0B" w:rsidP="007B70DB">
            <w:pPr>
              <w:pStyle w:val="Quote"/>
              <w:rPr>
                <w:color w:val="auto"/>
              </w:rPr>
            </w:pPr>
            <w:r w:rsidRPr="003F3B0B">
              <w:rPr>
                <w:color w:val="auto"/>
              </w:rPr>
              <w:t>22.8</w:t>
            </w:r>
          </w:p>
        </w:tc>
        <w:tc>
          <w:tcPr>
            <w:tcW w:w="1701" w:type="dxa"/>
            <w:tcBorders>
              <w:top w:val="single" w:sz="4" w:space="0" w:color="auto"/>
              <w:left w:val="single" w:sz="4" w:space="0" w:color="auto"/>
              <w:bottom w:val="nil"/>
              <w:right w:val="single" w:sz="4" w:space="0" w:color="auto"/>
            </w:tcBorders>
            <w:vAlign w:val="center"/>
          </w:tcPr>
          <w:p w14:paraId="25D5D8DA" w14:textId="77777777" w:rsidR="003F3B0B" w:rsidRPr="003F3B0B" w:rsidRDefault="003F3B0B" w:rsidP="007B70DB">
            <w:pPr>
              <w:pStyle w:val="Quote"/>
              <w:rPr>
                <w:color w:val="auto"/>
              </w:rPr>
            </w:pPr>
            <w:r w:rsidRPr="003F3B0B">
              <w:rPr>
                <w:color w:val="auto"/>
              </w:rPr>
              <w:t>83</w:t>
            </w:r>
          </w:p>
        </w:tc>
        <w:tc>
          <w:tcPr>
            <w:tcW w:w="1701" w:type="dxa"/>
            <w:tcBorders>
              <w:top w:val="single" w:sz="4" w:space="0" w:color="auto"/>
              <w:left w:val="single" w:sz="4" w:space="0" w:color="auto"/>
            </w:tcBorders>
            <w:vAlign w:val="center"/>
          </w:tcPr>
          <w:p w14:paraId="17ECF7DE" w14:textId="77777777" w:rsidR="003F3B0B" w:rsidRPr="003F3B0B" w:rsidRDefault="003F3B0B" w:rsidP="007B70DB">
            <w:pPr>
              <w:pStyle w:val="Quote"/>
              <w:rPr>
                <w:color w:val="auto"/>
              </w:rPr>
            </w:pPr>
            <w:r w:rsidRPr="003F3B0B">
              <w:rPr>
                <w:color w:val="auto"/>
              </w:rPr>
              <w:t>192.1</w:t>
            </w:r>
          </w:p>
        </w:tc>
      </w:tr>
      <w:tr w:rsidR="003F3B0B" w:rsidRPr="003F3B0B" w14:paraId="04A44379" w14:textId="77777777" w:rsidTr="007B70DB">
        <w:trPr>
          <w:jc w:val="center"/>
        </w:trPr>
        <w:tc>
          <w:tcPr>
            <w:tcW w:w="809" w:type="dxa"/>
            <w:tcBorders>
              <w:top w:val="nil"/>
              <w:bottom w:val="nil"/>
              <w:right w:val="single" w:sz="4" w:space="0" w:color="auto"/>
            </w:tcBorders>
            <w:vAlign w:val="center"/>
          </w:tcPr>
          <w:p w14:paraId="5373537C" w14:textId="77777777" w:rsidR="003F3B0B" w:rsidRPr="003F3B0B" w:rsidRDefault="003F3B0B" w:rsidP="007B70DB">
            <w:pPr>
              <w:pStyle w:val="Quote"/>
              <w:rPr>
                <w:color w:val="auto"/>
              </w:rPr>
            </w:pPr>
            <w:r w:rsidRPr="003F3B0B">
              <w:rPr>
                <w:color w:val="auto"/>
              </w:rPr>
              <w:t>2</w:t>
            </w:r>
          </w:p>
        </w:tc>
        <w:tc>
          <w:tcPr>
            <w:tcW w:w="1701" w:type="dxa"/>
            <w:tcBorders>
              <w:top w:val="nil"/>
              <w:left w:val="single" w:sz="4" w:space="0" w:color="auto"/>
              <w:bottom w:val="nil"/>
              <w:right w:val="single" w:sz="4" w:space="0" w:color="auto"/>
            </w:tcBorders>
            <w:vAlign w:val="center"/>
          </w:tcPr>
          <w:p w14:paraId="0A5696CA" w14:textId="77777777" w:rsidR="003F3B0B" w:rsidRPr="003F3B0B" w:rsidRDefault="003F3B0B" w:rsidP="007B70DB">
            <w:pPr>
              <w:pStyle w:val="Quote"/>
              <w:rPr>
                <w:color w:val="auto"/>
              </w:rPr>
            </w:pPr>
            <w:r w:rsidRPr="003F3B0B">
              <w:rPr>
                <w:color w:val="auto"/>
              </w:rPr>
              <w:t>45.4</w:t>
            </w:r>
          </w:p>
        </w:tc>
        <w:tc>
          <w:tcPr>
            <w:tcW w:w="1701" w:type="dxa"/>
            <w:tcBorders>
              <w:top w:val="nil"/>
              <w:left w:val="single" w:sz="4" w:space="0" w:color="auto"/>
              <w:bottom w:val="nil"/>
              <w:right w:val="single" w:sz="4" w:space="0" w:color="auto"/>
            </w:tcBorders>
            <w:vAlign w:val="center"/>
          </w:tcPr>
          <w:p w14:paraId="36E37596" w14:textId="77777777" w:rsidR="003F3B0B" w:rsidRPr="003F3B0B" w:rsidRDefault="003F3B0B" w:rsidP="007B70DB">
            <w:pPr>
              <w:pStyle w:val="Quote"/>
              <w:rPr>
                <w:color w:val="auto"/>
              </w:rPr>
            </w:pPr>
            <w:r w:rsidRPr="003F3B0B">
              <w:rPr>
                <w:color w:val="auto"/>
              </w:rPr>
              <w:t>65.1</w:t>
            </w:r>
          </w:p>
        </w:tc>
        <w:tc>
          <w:tcPr>
            <w:tcW w:w="1701" w:type="dxa"/>
            <w:tcBorders>
              <w:left w:val="single" w:sz="4" w:space="0" w:color="auto"/>
            </w:tcBorders>
            <w:vAlign w:val="center"/>
          </w:tcPr>
          <w:p w14:paraId="4F22C9CB" w14:textId="77777777" w:rsidR="003F3B0B" w:rsidRPr="003F3B0B" w:rsidRDefault="003F3B0B" w:rsidP="007B70DB">
            <w:pPr>
              <w:pStyle w:val="Quote"/>
              <w:rPr>
                <w:color w:val="auto"/>
              </w:rPr>
            </w:pPr>
            <w:r w:rsidRPr="003F3B0B">
              <w:rPr>
                <w:color w:val="auto"/>
              </w:rPr>
              <w:t>192.1</w:t>
            </w:r>
          </w:p>
        </w:tc>
      </w:tr>
      <w:tr w:rsidR="003F3B0B" w:rsidRPr="003F3B0B" w14:paraId="3A3F35A2" w14:textId="77777777" w:rsidTr="007B70DB">
        <w:trPr>
          <w:jc w:val="center"/>
        </w:trPr>
        <w:tc>
          <w:tcPr>
            <w:tcW w:w="809" w:type="dxa"/>
            <w:tcBorders>
              <w:top w:val="nil"/>
              <w:bottom w:val="nil"/>
              <w:right w:val="single" w:sz="4" w:space="0" w:color="auto"/>
            </w:tcBorders>
            <w:vAlign w:val="center"/>
          </w:tcPr>
          <w:p w14:paraId="2CBD1A74" w14:textId="77777777" w:rsidR="003F3B0B" w:rsidRPr="003F3B0B" w:rsidRDefault="003F3B0B" w:rsidP="007B70DB">
            <w:pPr>
              <w:pStyle w:val="Quote"/>
              <w:rPr>
                <w:color w:val="auto"/>
              </w:rPr>
            </w:pPr>
            <w:r w:rsidRPr="003F3B0B">
              <w:rPr>
                <w:color w:val="auto"/>
              </w:rPr>
              <w:t>3</w:t>
            </w:r>
          </w:p>
        </w:tc>
        <w:tc>
          <w:tcPr>
            <w:tcW w:w="1701" w:type="dxa"/>
            <w:tcBorders>
              <w:top w:val="nil"/>
              <w:left w:val="single" w:sz="4" w:space="0" w:color="auto"/>
              <w:bottom w:val="nil"/>
              <w:right w:val="single" w:sz="4" w:space="0" w:color="auto"/>
            </w:tcBorders>
            <w:vAlign w:val="center"/>
          </w:tcPr>
          <w:p w14:paraId="6DAC8F08" w14:textId="77777777" w:rsidR="003F3B0B" w:rsidRPr="003F3B0B" w:rsidRDefault="003F3B0B" w:rsidP="007B70DB">
            <w:pPr>
              <w:pStyle w:val="Quote"/>
              <w:rPr>
                <w:color w:val="auto"/>
              </w:rPr>
            </w:pPr>
            <w:r w:rsidRPr="003F3B0B">
              <w:rPr>
                <w:color w:val="auto"/>
              </w:rPr>
              <w:t>78.1</w:t>
            </w:r>
          </w:p>
        </w:tc>
        <w:tc>
          <w:tcPr>
            <w:tcW w:w="1701" w:type="dxa"/>
            <w:tcBorders>
              <w:top w:val="nil"/>
              <w:left w:val="single" w:sz="4" w:space="0" w:color="auto"/>
              <w:bottom w:val="nil"/>
              <w:right w:val="single" w:sz="4" w:space="0" w:color="auto"/>
            </w:tcBorders>
            <w:vAlign w:val="center"/>
          </w:tcPr>
          <w:p w14:paraId="0FF81D45" w14:textId="77777777" w:rsidR="003F3B0B" w:rsidRPr="003F3B0B" w:rsidRDefault="003F3B0B" w:rsidP="007B70DB">
            <w:pPr>
              <w:pStyle w:val="Quote"/>
              <w:rPr>
                <w:color w:val="auto"/>
              </w:rPr>
            </w:pPr>
            <w:r w:rsidRPr="003F3B0B">
              <w:rPr>
                <w:color w:val="auto"/>
              </w:rPr>
              <w:t>81.9</w:t>
            </w:r>
          </w:p>
        </w:tc>
        <w:tc>
          <w:tcPr>
            <w:tcW w:w="1701" w:type="dxa"/>
            <w:tcBorders>
              <w:left w:val="single" w:sz="4" w:space="0" w:color="auto"/>
            </w:tcBorders>
            <w:vAlign w:val="center"/>
          </w:tcPr>
          <w:p w14:paraId="3C87A12E" w14:textId="77777777" w:rsidR="003F3B0B" w:rsidRPr="003F3B0B" w:rsidRDefault="003F3B0B" w:rsidP="007B70DB">
            <w:pPr>
              <w:pStyle w:val="Quote"/>
              <w:rPr>
                <w:color w:val="auto"/>
              </w:rPr>
            </w:pPr>
            <w:r w:rsidRPr="003F3B0B">
              <w:rPr>
                <w:color w:val="auto"/>
              </w:rPr>
              <w:t>188.7</w:t>
            </w:r>
          </w:p>
        </w:tc>
      </w:tr>
      <w:tr w:rsidR="003F3B0B" w:rsidRPr="003F3B0B" w14:paraId="28E8FCEF" w14:textId="77777777" w:rsidTr="007B70DB">
        <w:trPr>
          <w:jc w:val="center"/>
        </w:trPr>
        <w:tc>
          <w:tcPr>
            <w:tcW w:w="809" w:type="dxa"/>
            <w:tcBorders>
              <w:top w:val="nil"/>
              <w:bottom w:val="nil"/>
              <w:right w:val="single" w:sz="4" w:space="0" w:color="auto"/>
            </w:tcBorders>
            <w:vAlign w:val="center"/>
          </w:tcPr>
          <w:p w14:paraId="25F94C1D" w14:textId="77777777" w:rsidR="003F3B0B" w:rsidRPr="003F3B0B" w:rsidRDefault="003F3B0B" w:rsidP="007B70DB">
            <w:pPr>
              <w:pStyle w:val="Quote"/>
              <w:rPr>
                <w:color w:val="auto"/>
              </w:rPr>
            </w:pPr>
            <w:r w:rsidRPr="003F3B0B">
              <w:rPr>
                <w:color w:val="auto"/>
              </w:rPr>
              <w:t>4</w:t>
            </w:r>
          </w:p>
        </w:tc>
        <w:tc>
          <w:tcPr>
            <w:tcW w:w="1701" w:type="dxa"/>
            <w:tcBorders>
              <w:top w:val="nil"/>
              <w:left w:val="single" w:sz="4" w:space="0" w:color="auto"/>
              <w:bottom w:val="nil"/>
              <w:right w:val="single" w:sz="4" w:space="0" w:color="auto"/>
            </w:tcBorders>
            <w:vAlign w:val="center"/>
          </w:tcPr>
          <w:p w14:paraId="67E9BA37" w14:textId="77777777" w:rsidR="003F3B0B" w:rsidRPr="003F3B0B" w:rsidRDefault="003F3B0B" w:rsidP="007B70DB">
            <w:pPr>
              <w:pStyle w:val="Quote"/>
              <w:rPr>
                <w:color w:val="auto"/>
              </w:rPr>
            </w:pPr>
            <w:r w:rsidRPr="003F3B0B">
              <w:rPr>
                <w:color w:val="auto"/>
              </w:rPr>
              <w:t>40.5</w:t>
            </w:r>
          </w:p>
        </w:tc>
        <w:tc>
          <w:tcPr>
            <w:tcW w:w="1701" w:type="dxa"/>
            <w:tcBorders>
              <w:top w:val="nil"/>
              <w:left w:val="single" w:sz="4" w:space="0" w:color="auto"/>
              <w:bottom w:val="nil"/>
              <w:right w:val="single" w:sz="4" w:space="0" w:color="auto"/>
            </w:tcBorders>
            <w:vAlign w:val="center"/>
          </w:tcPr>
          <w:p w14:paraId="0C99CD57" w14:textId="77777777" w:rsidR="003F3B0B" w:rsidRPr="003F3B0B" w:rsidRDefault="003F3B0B" w:rsidP="007B70DB">
            <w:pPr>
              <w:pStyle w:val="Quote"/>
              <w:rPr>
                <w:color w:val="auto"/>
              </w:rPr>
            </w:pPr>
            <w:r w:rsidRPr="003F3B0B">
              <w:rPr>
                <w:color w:val="auto"/>
              </w:rPr>
              <w:t>44.6</w:t>
            </w:r>
          </w:p>
        </w:tc>
        <w:tc>
          <w:tcPr>
            <w:tcW w:w="1701" w:type="dxa"/>
            <w:tcBorders>
              <w:left w:val="single" w:sz="4" w:space="0" w:color="auto"/>
            </w:tcBorders>
            <w:vAlign w:val="center"/>
          </w:tcPr>
          <w:p w14:paraId="036731AA" w14:textId="77777777" w:rsidR="003F3B0B" w:rsidRPr="003F3B0B" w:rsidRDefault="003F3B0B" w:rsidP="007B70DB">
            <w:pPr>
              <w:pStyle w:val="Quote"/>
              <w:rPr>
                <w:color w:val="auto"/>
              </w:rPr>
            </w:pPr>
            <w:r w:rsidRPr="003F3B0B">
              <w:rPr>
                <w:color w:val="auto"/>
              </w:rPr>
              <w:t>101.8</w:t>
            </w:r>
          </w:p>
        </w:tc>
      </w:tr>
      <w:tr w:rsidR="003F3B0B" w:rsidRPr="003F3B0B" w14:paraId="53F9172F" w14:textId="77777777" w:rsidTr="007B70DB">
        <w:trPr>
          <w:jc w:val="center"/>
        </w:trPr>
        <w:tc>
          <w:tcPr>
            <w:tcW w:w="809" w:type="dxa"/>
            <w:tcBorders>
              <w:top w:val="nil"/>
              <w:bottom w:val="nil"/>
              <w:right w:val="single" w:sz="4" w:space="0" w:color="auto"/>
            </w:tcBorders>
            <w:vAlign w:val="center"/>
          </w:tcPr>
          <w:p w14:paraId="0D3C1CD1" w14:textId="77777777" w:rsidR="003F3B0B" w:rsidRPr="003F3B0B" w:rsidRDefault="003F3B0B" w:rsidP="007B70DB">
            <w:pPr>
              <w:pStyle w:val="Quote"/>
              <w:rPr>
                <w:color w:val="auto"/>
              </w:rPr>
            </w:pPr>
            <w:r w:rsidRPr="003F3B0B">
              <w:rPr>
                <w:color w:val="auto"/>
              </w:rPr>
              <w:t>5</w:t>
            </w:r>
          </w:p>
        </w:tc>
        <w:tc>
          <w:tcPr>
            <w:tcW w:w="1701" w:type="dxa"/>
            <w:tcBorders>
              <w:top w:val="nil"/>
              <w:left w:val="single" w:sz="4" w:space="0" w:color="auto"/>
              <w:bottom w:val="nil"/>
              <w:right w:val="single" w:sz="4" w:space="0" w:color="auto"/>
            </w:tcBorders>
            <w:vAlign w:val="center"/>
          </w:tcPr>
          <w:p w14:paraId="562A360C" w14:textId="77777777" w:rsidR="003F3B0B" w:rsidRPr="003F3B0B" w:rsidRDefault="003F3B0B" w:rsidP="007B70DB">
            <w:pPr>
              <w:pStyle w:val="Quote"/>
              <w:rPr>
                <w:color w:val="auto"/>
              </w:rPr>
            </w:pPr>
            <w:r w:rsidRPr="003F3B0B">
              <w:rPr>
                <w:color w:val="auto"/>
              </w:rPr>
              <w:t>2.1</w:t>
            </w:r>
          </w:p>
        </w:tc>
        <w:tc>
          <w:tcPr>
            <w:tcW w:w="1701" w:type="dxa"/>
            <w:tcBorders>
              <w:top w:val="nil"/>
              <w:left w:val="single" w:sz="4" w:space="0" w:color="auto"/>
              <w:bottom w:val="nil"/>
              <w:right w:val="single" w:sz="4" w:space="0" w:color="auto"/>
            </w:tcBorders>
            <w:vAlign w:val="center"/>
          </w:tcPr>
          <w:p w14:paraId="2C684613" w14:textId="77777777" w:rsidR="003F3B0B" w:rsidRPr="003F3B0B" w:rsidRDefault="003F3B0B" w:rsidP="007B70DB">
            <w:pPr>
              <w:pStyle w:val="Quote"/>
              <w:rPr>
                <w:color w:val="auto"/>
              </w:rPr>
            </w:pPr>
            <w:r w:rsidRPr="003F3B0B">
              <w:rPr>
                <w:color w:val="auto"/>
              </w:rPr>
              <w:t>3.3</w:t>
            </w:r>
          </w:p>
        </w:tc>
        <w:tc>
          <w:tcPr>
            <w:tcW w:w="1701" w:type="dxa"/>
            <w:tcBorders>
              <w:left w:val="single" w:sz="4" w:space="0" w:color="auto"/>
            </w:tcBorders>
            <w:vAlign w:val="center"/>
          </w:tcPr>
          <w:p w14:paraId="375506F8" w14:textId="77777777" w:rsidR="003F3B0B" w:rsidRPr="003F3B0B" w:rsidRDefault="003F3B0B" w:rsidP="007B70DB">
            <w:pPr>
              <w:pStyle w:val="Quote"/>
              <w:rPr>
                <w:color w:val="auto"/>
              </w:rPr>
            </w:pPr>
            <w:r w:rsidRPr="003F3B0B">
              <w:rPr>
                <w:color w:val="auto"/>
              </w:rPr>
              <w:t>4.4</w:t>
            </w:r>
          </w:p>
        </w:tc>
      </w:tr>
      <w:tr w:rsidR="003F3B0B" w:rsidRPr="003F3B0B" w14:paraId="449165AB" w14:textId="77777777" w:rsidTr="007B70DB">
        <w:trPr>
          <w:jc w:val="center"/>
        </w:trPr>
        <w:tc>
          <w:tcPr>
            <w:tcW w:w="809" w:type="dxa"/>
            <w:tcBorders>
              <w:top w:val="nil"/>
              <w:bottom w:val="single" w:sz="4" w:space="0" w:color="auto"/>
              <w:right w:val="single" w:sz="4" w:space="0" w:color="auto"/>
            </w:tcBorders>
            <w:vAlign w:val="center"/>
          </w:tcPr>
          <w:p w14:paraId="15FB3DAB" w14:textId="77777777" w:rsidR="003F3B0B" w:rsidRPr="003F3B0B" w:rsidRDefault="003F3B0B" w:rsidP="007B70DB">
            <w:pPr>
              <w:pStyle w:val="Quote"/>
              <w:rPr>
                <w:color w:val="auto"/>
              </w:rPr>
            </w:pPr>
            <w:r w:rsidRPr="003F3B0B">
              <w:rPr>
                <w:color w:val="auto"/>
              </w:rPr>
              <w:t>6</w:t>
            </w:r>
          </w:p>
        </w:tc>
        <w:tc>
          <w:tcPr>
            <w:tcW w:w="1701" w:type="dxa"/>
            <w:tcBorders>
              <w:top w:val="nil"/>
              <w:left w:val="single" w:sz="4" w:space="0" w:color="auto"/>
              <w:bottom w:val="single" w:sz="4" w:space="0" w:color="auto"/>
              <w:right w:val="single" w:sz="4" w:space="0" w:color="auto"/>
            </w:tcBorders>
            <w:vAlign w:val="center"/>
          </w:tcPr>
          <w:p w14:paraId="6279898F" w14:textId="77777777" w:rsidR="003F3B0B" w:rsidRPr="003F3B0B" w:rsidRDefault="003F3B0B" w:rsidP="007B70DB">
            <w:pPr>
              <w:pStyle w:val="Quote"/>
              <w:rPr>
                <w:color w:val="auto"/>
              </w:rPr>
            </w:pPr>
            <w:r w:rsidRPr="003F3B0B">
              <w:rPr>
                <w:color w:val="auto"/>
              </w:rPr>
              <w:t>29.2</w:t>
            </w:r>
          </w:p>
        </w:tc>
        <w:tc>
          <w:tcPr>
            <w:tcW w:w="1701" w:type="dxa"/>
            <w:tcBorders>
              <w:top w:val="nil"/>
              <w:left w:val="single" w:sz="4" w:space="0" w:color="auto"/>
              <w:bottom w:val="single" w:sz="4" w:space="0" w:color="auto"/>
              <w:right w:val="single" w:sz="4" w:space="0" w:color="auto"/>
            </w:tcBorders>
            <w:vAlign w:val="center"/>
          </w:tcPr>
          <w:p w14:paraId="6B9F14E1" w14:textId="77777777" w:rsidR="003F3B0B" w:rsidRPr="003F3B0B" w:rsidRDefault="003F3B0B" w:rsidP="007B70DB">
            <w:pPr>
              <w:pStyle w:val="Quote"/>
              <w:rPr>
                <w:color w:val="auto"/>
              </w:rPr>
            </w:pPr>
            <w:r w:rsidRPr="003F3B0B">
              <w:rPr>
                <w:color w:val="auto"/>
              </w:rPr>
              <w:t>27.2</w:t>
            </w:r>
          </w:p>
        </w:tc>
        <w:tc>
          <w:tcPr>
            <w:tcW w:w="1701" w:type="dxa"/>
            <w:tcBorders>
              <w:left w:val="single" w:sz="4" w:space="0" w:color="auto"/>
            </w:tcBorders>
            <w:vAlign w:val="center"/>
          </w:tcPr>
          <w:p w14:paraId="50F0E516" w14:textId="77777777" w:rsidR="003F3B0B" w:rsidRPr="003F3B0B" w:rsidRDefault="003F3B0B" w:rsidP="007B70DB">
            <w:pPr>
              <w:pStyle w:val="Quote"/>
              <w:rPr>
                <w:color w:val="auto"/>
              </w:rPr>
            </w:pPr>
            <w:r w:rsidRPr="003F3B0B">
              <w:rPr>
                <w:color w:val="auto"/>
              </w:rPr>
              <w:t>87.8</w:t>
            </w:r>
          </w:p>
        </w:tc>
      </w:tr>
    </w:tbl>
    <w:p w14:paraId="18F62172" w14:textId="77777777" w:rsidR="003F3B0B" w:rsidRPr="003F3B0B" w:rsidRDefault="003F3B0B" w:rsidP="003F3B0B"/>
    <w:p w14:paraId="356DE177" w14:textId="77777777" w:rsidR="003F3B0B" w:rsidRPr="003F3B0B" w:rsidRDefault="003F3B0B" w:rsidP="003F3B0B"/>
    <w:p w14:paraId="4536DA97" w14:textId="019CD45B" w:rsidR="003F3B0B" w:rsidRPr="003F3B0B" w:rsidRDefault="003F3B0B" w:rsidP="006058DF">
      <w:pPr>
        <w:jc w:val="center"/>
        <w:rPr>
          <w:rFonts w:cs="Times New Roman"/>
          <w:b/>
          <w:sz w:val="28"/>
          <w:szCs w:val="28"/>
        </w:rPr>
      </w:pPr>
      <w:r w:rsidRPr="003F3B0B">
        <w:rPr>
          <w:rFonts w:cs="Times New Roman"/>
          <w:b/>
          <w:sz w:val="28"/>
          <w:szCs w:val="28"/>
        </w:rPr>
        <w:br w:type="page"/>
      </w:r>
    </w:p>
    <w:p w14:paraId="75B0048F" w14:textId="77777777" w:rsidR="003F3B0B" w:rsidRPr="003F3B0B" w:rsidRDefault="003F3B0B" w:rsidP="003F3B0B">
      <w:pPr>
        <w:pStyle w:val="BodyTextIndent"/>
        <w:ind w:left="0"/>
        <w:jc w:val="center"/>
        <w:rPr>
          <w:b/>
          <w:lang w:val="en-GB"/>
        </w:rPr>
      </w:pPr>
      <w:r w:rsidRPr="003F3B0B">
        <w:rPr>
          <w:b/>
          <w:lang w:val="en-GB"/>
        </w:rPr>
        <w:lastRenderedPageBreak/>
        <w:t>Figures</w:t>
      </w:r>
    </w:p>
    <w:p w14:paraId="7CABE5BF" w14:textId="77777777" w:rsidR="003F3B0B" w:rsidRPr="003F3B0B" w:rsidRDefault="003F3B0B" w:rsidP="003F3B0B">
      <w:pPr>
        <w:pStyle w:val="BodyTextIndent"/>
        <w:ind w:left="0"/>
        <w:jc w:val="center"/>
        <w:rPr>
          <w:b/>
          <w:lang w:val="en-GB"/>
        </w:rPr>
      </w:pPr>
    </w:p>
    <w:p w14:paraId="6999BDB4" w14:textId="77777777" w:rsidR="003F3B0B" w:rsidRPr="003F3B0B" w:rsidRDefault="003F3B0B" w:rsidP="003F3B0B">
      <w:pPr>
        <w:pStyle w:val="BodyTextIndent"/>
        <w:ind w:left="0"/>
        <w:jc w:val="center"/>
        <w:rPr>
          <w:lang w:val="en-GB"/>
        </w:rPr>
      </w:pPr>
      <w:r w:rsidRPr="003F3B0B">
        <w:rPr>
          <w:noProof/>
          <w:lang w:val="en-IE" w:eastAsia="en-IE"/>
        </w:rPr>
        <w:drawing>
          <wp:inline distT="0" distB="0" distL="0" distR="0" wp14:anchorId="1A606CC3" wp14:editId="00393A61">
            <wp:extent cx="5954233" cy="1662493"/>
            <wp:effectExtent l="0" t="0" r="889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54817" cy="1662656"/>
                    </a:xfrm>
                    <a:prstGeom prst="rect">
                      <a:avLst/>
                    </a:prstGeom>
                    <a:noFill/>
                    <a:ln>
                      <a:noFill/>
                    </a:ln>
                  </pic:spPr>
                </pic:pic>
              </a:graphicData>
            </a:graphic>
          </wp:inline>
        </w:drawing>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3402"/>
        <w:gridCol w:w="3402"/>
      </w:tblGrid>
      <w:tr w:rsidR="003F3B0B" w:rsidRPr="003F3B0B" w14:paraId="3D2CAA31" w14:textId="77777777" w:rsidTr="007B70DB">
        <w:tc>
          <w:tcPr>
            <w:tcW w:w="2802" w:type="dxa"/>
            <w:vAlign w:val="center"/>
          </w:tcPr>
          <w:p w14:paraId="4A0FA331" w14:textId="77777777" w:rsidR="003F3B0B" w:rsidRPr="003F3B0B" w:rsidRDefault="003F3B0B" w:rsidP="007B70DB">
            <w:pPr>
              <w:pStyle w:val="BodyTextIndent"/>
              <w:ind w:left="0"/>
              <w:jc w:val="center"/>
              <w:rPr>
                <w:lang w:val="en-GB"/>
              </w:rPr>
            </w:pPr>
            <w:r w:rsidRPr="003F3B0B">
              <w:rPr>
                <w:lang w:val="en-GB"/>
              </w:rPr>
              <w:t>Global riser analysis</w:t>
            </w:r>
          </w:p>
        </w:tc>
        <w:tc>
          <w:tcPr>
            <w:tcW w:w="3402" w:type="dxa"/>
            <w:vAlign w:val="center"/>
          </w:tcPr>
          <w:p w14:paraId="54F471DB" w14:textId="77777777" w:rsidR="003F3B0B" w:rsidRPr="003F3B0B" w:rsidRDefault="003F3B0B" w:rsidP="007B70DB">
            <w:pPr>
              <w:pStyle w:val="BodyTextIndent"/>
              <w:ind w:left="0"/>
              <w:jc w:val="center"/>
              <w:rPr>
                <w:lang w:val="en-GB"/>
              </w:rPr>
            </w:pPr>
            <w:r w:rsidRPr="003F3B0B">
              <w:rPr>
                <w:lang w:val="en-GB"/>
              </w:rPr>
              <w:t>Cross-sectional riser analysis</w:t>
            </w:r>
          </w:p>
        </w:tc>
        <w:tc>
          <w:tcPr>
            <w:tcW w:w="3402" w:type="dxa"/>
            <w:vAlign w:val="center"/>
          </w:tcPr>
          <w:p w14:paraId="40C0BD58" w14:textId="77777777" w:rsidR="003F3B0B" w:rsidRPr="003F3B0B" w:rsidRDefault="003F3B0B" w:rsidP="007B70DB">
            <w:pPr>
              <w:pStyle w:val="BodyTextIndent"/>
              <w:ind w:left="0"/>
              <w:jc w:val="center"/>
              <w:rPr>
                <w:lang w:val="en-GB"/>
              </w:rPr>
            </w:pPr>
            <w:r w:rsidRPr="003F3B0B">
              <w:rPr>
                <w:lang w:val="en-GB"/>
              </w:rPr>
              <w:t>Local nub-groove pressure armour layer analysis</w:t>
            </w:r>
          </w:p>
        </w:tc>
      </w:tr>
    </w:tbl>
    <w:p w14:paraId="7589EFBE" w14:textId="77777777" w:rsidR="003F3B0B" w:rsidRPr="003F3B0B" w:rsidRDefault="003F3B0B" w:rsidP="003F3B0B">
      <w:pPr>
        <w:pStyle w:val="Caption"/>
        <w:rPr>
          <w:rFonts w:ascii="Cambria Math" w:hAnsi="Cambria Math"/>
          <w:lang w:val="en-GB"/>
        </w:rPr>
      </w:pPr>
      <w:proofErr w:type="gramStart"/>
      <w:r w:rsidRPr="003F3B0B">
        <w:t xml:space="preserve">Figure </w:t>
      </w:r>
      <w:r w:rsidRPr="003F3B0B">
        <w:fldChar w:fldCharType="begin"/>
      </w:r>
      <w:r w:rsidRPr="003F3B0B">
        <w:instrText xml:space="preserve"> SEQ Figure \* ARABIC </w:instrText>
      </w:r>
      <w:r w:rsidRPr="003F3B0B">
        <w:fldChar w:fldCharType="separate"/>
      </w:r>
      <w:r w:rsidRPr="003F3B0B">
        <w:rPr>
          <w:noProof/>
        </w:rPr>
        <w:t>1</w:t>
      </w:r>
      <w:r w:rsidRPr="003F3B0B">
        <w:rPr>
          <w:noProof/>
        </w:rPr>
        <w:fldChar w:fldCharType="end"/>
      </w:r>
      <w:r w:rsidRPr="003F3B0B">
        <w:t>.</w:t>
      </w:r>
      <w:proofErr w:type="gramEnd"/>
      <w:r w:rsidRPr="003F3B0B">
        <w:rPr>
          <w:rFonts w:ascii="Cambria Math" w:hAnsi="Cambria Math"/>
          <w:lang w:val="en-GB"/>
        </w:rPr>
        <w:t xml:space="preserve"> </w:t>
      </w:r>
      <w:r w:rsidRPr="003F3B0B">
        <w:rPr>
          <w:rFonts w:cs="Times New Roman"/>
          <w:lang w:val="en-GB"/>
        </w:rPr>
        <w:t xml:space="preserve">Design framework for service life prediction of the nub-groove contact in the pressure armour layer of a flexible riser jumper. </w:t>
      </w:r>
    </w:p>
    <w:p w14:paraId="47BF32FA" w14:textId="77777777" w:rsidR="003F3B0B" w:rsidRPr="003F3B0B" w:rsidRDefault="003F3B0B" w:rsidP="003F3B0B">
      <w:pPr>
        <w:pStyle w:val="Quote"/>
        <w:rPr>
          <w:color w:val="auto"/>
        </w:rPr>
      </w:pPr>
    </w:p>
    <w:p w14:paraId="0D136A54" w14:textId="77777777" w:rsidR="003F3B0B" w:rsidRPr="003F3B0B" w:rsidRDefault="003F3B0B" w:rsidP="003F3B0B">
      <w:pPr>
        <w:pStyle w:val="Quote"/>
        <w:rPr>
          <w:color w:val="auto"/>
        </w:rPr>
      </w:pPr>
      <w:r w:rsidRPr="003F3B0B">
        <w:rPr>
          <w:noProof/>
          <w:color w:val="auto"/>
          <w:lang w:eastAsia="en-IE"/>
        </w:rPr>
        <w:drawing>
          <wp:inline distT="0" distB="0" distL="0" distR="0" wp14:anchorId="2E813DEE" wp14:editId="2F31B120">
            <wp:extent cx="2271759" cy="355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4726" cy="3560645"/>
                    </a:xfrm>
                    <a:prstGeom prst="rect">
                      <a:avLst/>
                    </a:prstGeom>
                    <a:noFill/>
                    <a:ln>
                      <a:noFill/>
                    </a:ln>
                  </pic:spPr>
                </pic:pic>
              </a:graphicData>
            </a:graphic>
          </wp:inline>
        </w:drawing>
      </w:r>
    </w:p>
    <w:p w14:paraId="3CE2D343" w14:textId="77777777" w:rsidR="003F3B0B" w:rsidRPr="003F3B0B" w:rsidRDefault="003F3B0B" w:rsidP="003F3B0B">
      <w:pPr>
        <w:pStyle w:val="Caption"/>
      </w:pPr>
      <w:proofErr w:type="gramStart"/>
      <w:r w:rsidRPr="003F3B0B">
        <w:t xml:space="preserve">Figure </w:t>
      </w:r>
      <w:r w:rsidRPr="003F3B0B">
        <w:fldChar w:fldCharType="begin"/>
      </w:r>
      <w:r w:rsidRPr="003F3B0B">
        <w:instrText xml:space="preserve"> SEQ Figure \* ARABIC </w:instrText>
      </w:r>
      <w:r w:rsidRPr="003F3B0B">
        <w:fldChar w:fldCharType="separate"/>
      </w:r>
      <w:r w:rsidRPr="003F3B0B">
        <w:rPr>
          <w:noProof/>
        </w:rPr>
        <w:t>2</w:t>
      </w:r>
      <w:r w:rsidRPr="003F3B0B">
        <w:rPr>
          <w:noProof/>
        </w:rPr>
        <w:fldChar w:fldCharType="end"/>
      </w:r>
      <w:r w:rsidRPr="003F3B0B">
        <w:t>.</w:t>
      </w:r>
      <w:proofErr w:type="gramEnd"/>
      <w:r w:rsidRPr="003F3B0B">
        <w:t xml:space="preserve"> </w:t>
      </w:r>
      <w:proofErr w:type="gramStart"/>
      <w:r w:rsidRPr="003F3B0B">
        <w:t>Framework for fretting life prediction in flexible marine risers.</w:t>
      </w:r>
      <w:proofErr w:type="gramEnd"/>
    </w:p>
    <w:p w14:paraId="64CF7466" w14:textId="77777777" w:rsidR="003F3B0B" w:rsidRPr="003F3B0B" w:rsidRDefault="003F3B0B" w:rsidP="003F3B0B"/>
    <w:p w14:paraId="05B15CB4" w14:textId="77777777" w:rsidR="003F3B0B" w:rsidRPr="003F3B0B" w:rsidRDefault="003F3B0B" w:rsidP="003F3B0B">
      <w:pPr>
        <w:pStyle w:val="Quote"/>
        <w:rPr>
          <w:color w:val="auto"/>
        </w:rPr>
      </w:pPr>
      <w:r w:rsidRPr="003F3B0B">
        <w:rPr>
          <w:noProof/>
          <w:color w:val="auto"/>
          <w:lang w:eastAsia="en-IE"/>
        </w:rPr>
        <w:lastRenderedPageBreak/>
        <w:drawing>
          <wp:inline distT="0" distB="0" distL="0" distR="0" wp14:anchorId="2064DC70" wp14:editId="586976EC">
            <wp:extent cx="5731510" cy="404600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4046007"/>
                    </a:xfrm>
                    <a:prstGeom prst="rect">
                      <a:avLst/>
                    </a:prstGeom>
                    <a:noFill/>
                    <a:ln>
                      <a:noFill/>
                    </a:ln>
                  </pic:spPr>
                </pic:pic>
              </a:graphicData>
            </a:graphic>
          </wp:inline>
        </w:drawing>
      </w:r>
    </w:p>
    <w:p w14:paraId="003E0B3C" w14:textId="77777777" w:rsidR="003F3B0B" w:rsidRPr="003F3B0B" w:rsidRDefault="003F3B0B" w:rsidP="003F3B0B">
      <w:pPr>
        <w:pStyle w:val="Caption"/>
      </w:pPr>
      <w:proofErr w:type="gramStart"/>
      <w:r w:rsidRPr="003F3B0B">
        <w:t xml:space="preserve">Figure </w:t>
      </w:r>
      <w:r w:rsidRPr="003F3B0B">
        <w:fldChar w:fldCharType="begin"/>
      </w:r>
      <w:r w:rsidRPr="003F3B0B">
        <w:instrText xml:space="preserve"> SEQ Figure \* ARABIC </w:instrText>
      </w:r>
      <w:r w:rsidRPr="003F3B0B">
        <w:fldChar w:fldCharType="separate"/>
      </w:r>
      <w:r w:rsidRPr="003F3B0B">
        <w:rPr>
          <w:noProof/>
        </w:rPr>
        <w:t>3</w:t>
      </w:r>
      <w:r w:rsidRPr="003F3B0B">
        <w:rPr>
          <w:noProof/>
        </w:rPr>
        <w:fldChar w:fldCharType="end"/>
      </w:r>
      <w:r w:rsidRPr="003F3B0B">
        <w:t>.</w:t>
      </w:r>
      <w:proofErr w:type="gramEnd"/>
      <w:r w:rsidRPr="003F3B0B">
        <w:t xml:space="preserve"> </w:t>
      </w:r>
      <w:proofErr w:type="gramStart"/>
      <w:r w:rsidRPr="003F3B0B">
        <w:t>Schematic of SLHR and single riser jumper configuration and definition of vessel degrees of freedom for RAOs.</w:t>
      </w:r>
      <w:proofErr w:type="gramEnd"/>
    </w:p>
    <w:p w14:paraId="6741A5DB" w14:textId="77777777" w:rsidR="003F3B0B" w:rsidRPr="003F3B0B" w:rsidRDefault="003F3B0B" w:rsidP="003F3B0B">
      <w:pPr>
        <w:pStyle w:val="Caption"/>
      </w:pPr>
      <w:r w:rsidRPr="003F3B0B">
        <w:t>.</w:t>
      </w:r>
    </w:p>
    <w:p w14:paraId="5C84B114" w14:textId="77777777" w:rsidR="003F3B0B" w:rsidRPr="003F3B0B" w:rsidRDefault="003F3B0B" w:rsidP="003F3B0B"/>
    <w:p w14:paraId="698A316B" w14:textId="77777777" w:rsidR="003F3B0B" w:rsidRPr="003F3B0B" w:rsidRDefault="003F3B0B" w:rsidP="003F3B0B"/>
    <w:p w14:paraId="7596B7F3" w14:textId="77777777" w:rsidR="003F3B0B" w:rsidRPr="003F3B0B" w:rsidRDefault="003F3B0B" w:rsidP="003F3B0B">
      <w:pPr>
        <w:pStyle w:val="Quote"/>
        <w:rPr>
          <w:color w:val="auto"/>
        </w:rPr>
      </w:pPr>
      <w:r w:rsidRPr="003F3B0B">
        <w:rPr>
          <w:noProof/>
          <w:color w:val="auto"/>
          <w:lang w:eastAsia="en-IE"/>
        </w:rPr>
        <w:lastRenderedPageBreak/>
        <w:drawing>
          <wp:inline distT="0" distB="0" distL="0" distR="0" wp14:anchorId="61042B73" wp14:editId="7803D44F">
            <wp:extent cx="5371465" cy="3366837"/>
            <wp:effectExtent l="0" t="0" r="63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1465" cy="3366837"/>
                    </a:xfrm>
                    <a:prstGeom prst="rect">
                      <a:avLst/>
                    </a:prstGeom>
                    <a:noFill/>
                    <a:ln>
                      <a:noFill/>
                    </a:ln>
                  </pic:spPr>
                </pic:pic>
              </a:graphicData>
            </a:graphic>
          </wp:inline>
        </w:drawing>
      </w:r>
    </w:p>
    <w:p w14:paraId="321BDC90" w14:textId="77777777" w:rsidR="003F3B0B" w:rsidRPr="003F3B0B" w:rsidRDefault="003F3B0B" w:rsidP="003F3B0B">
      <w:pPr>
        <w:pStyle w:val="Caption"/>
      </w:pPr>
      <w:proofErr w:type="gramStart"/>
      <w:r w:rsidRPr="003F3B0B">
        <w:t xml:space="preserve">Figure </w:t>
      </w:r>
      <w:r w:rsidRPr="003F3B0B">
        <w:fldChar w:fldCharType="begin"/>
      </w:r>
      <w:r w:rsidRPr="003F3B0B">
        <w:instrText xml:space="preserve"> SEQ Figure \* ARABIC </w:instrText>
      </w:r>
      <w:r w:rsidRPr="003F3B0B">
        <w:fldChar w:fldCharType="separate"/>
      </w:r>
      <w:r w:rsidRPr="003F3B0B">
        <w:rPr>
          <w:noProof/>
        </w:rPr>
        <w:t>4</w:t>
      </w:r>
      <w:r w:rsidRPr="003F3B0B">
        <w:rPr>
          <w:noProof/>
        </w:rPr>
        <w:fldChar w:fldCharType="end"/>
      </w:r>
      <w:r w:rsidRPr="003F3B0B">
        <w:t>.</w:t>
      </w:r>
      <w:proofErr w:type="gramEnd"/>
      <w:r w:rsidRPr="003F3B0B">
        <w:t xml:space="preserve"> Schematic of </w:t>
      </w:r>
      <w:r w:rsidRPr="003F3B0B">
        <w:rPr>
          <w:noProof/>
        </w:rPr>
        <w:t>effect</w:t>
      </w:r>
      <w:r w:rsidRPr="003F3B0B">
        <w:t xml:space="preserve"> of bending on riser section and the geometrical model used to relate riser curvature to </w:t>
      </w:r>
      <w:r w:rsidRPr="003F3B0B">
        <w:rPr>
          <w:noProof/>
        </w:rPr>
        <w:t>local</w:t>
      </w:r>
      <w:r w:rsidRPr="003F3B0B">
        <w:t xml:space="preserve"> applied displacement.</w:t>
      </w:r>
    </w:p>
    <w:p w14:paraId="71E960BE" w14:textId="77777777" w:rsidR="003F3B0B" w:rsidRPr="003F3B0B" w:rsidRDefault="003F3B0B" w:rsidP="003F3B0B"/>
    <w:p w14:paraId="21315076" w14:textId="77777777" w:rsidR="003F3B0B" w:rsidRPr="003F3B0B" w:rsidRDefault="003F3B0B" w:rsidP="003F3B0B">
      <w:pPr>
        <w:pStyle w:val="Quote"/>
        <w:rPr>
          <w:color w:val="auto"/>
        </w:rPr>
      </w:pPr>
    </w:p>
    <w:p w14:paraId="7BE886DF" w14:textId="77777777" w:rsidR="003F3B0B" w:rsidRPr="003F3B0B" w:rsidRDefault="003F3B0B" w:rsidP="003F3B0B">
      <w:pPr>
        <w:pStyle w:val="Quote"/>
        <w:rPr>
          <w:color w:val="auto"/>
        </w:rPr>
      </w:pPr>
      <w:r w:rsidRPr="003F3B0B">
        <w:rPr>
          <w:noProof/>
          <w:color w:val="auto"/>
          <w:lang w:eastAsia="en-IE"/>
        </w:rPr>
        <w:drawing>
          <wp:inline distT="0" distB="0" distL="0" distR="0" wp14:anchorId="45F4CC5E" wp14:editId="5B50FAC1">
            <wp:extent cx="5723295" cy="276908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4400"/>
                    <a:stretch/>
                  </pic:blipFill>
                  <pic:spPr bwMode="auto">
                    <a:xfrm>
                      <a:off x="0" y="0"/>
                      <a:ext cx="5731510" cy="2773054"/>
                    </a:xfrm>
                    <a:prstGeom prst="rect">
                      <a:avLst/>
                    </a:prstGeom>
                    <a:noFill/>
                    <a:ln>
                      <a:noFill/>
                    </a:ln>
                    <a:extLst>
                      <a:ext uri="{53640926-AAD7-44D8-BBD7-CCE9431645EC}">
                        <a14:shadowObscured xmlns:a14="http://schemas.microsoft.com/office/drawing/2010/main"/>
                      </a:ext>
                    </a:extLst>
                  </pic:spPr>
                </pic:pic>
              </a:graphicData>
            </a:graphic>
          </wp:inline>
        </w:drawing>
      </w:r>
    </w:p>
    <w:p w14:paraId="228B0835" w14:textId="77777777" w:rsidR="003F3B0B" w:rsidRPr="003F3B0B" w:rsidRDefault="003F3B0B" w:rsidP="003F3B0B">
      <w:pPr>
        <w:pStyle w:val="Caption"/>
      </w:pPr>
      <w:proofErr w:type="gramStart"/>
      <w:r w:rsidRPr="003F3B0B">
        <w:t xml:space="preserve">Figure </w:t>
      </w:r>
      <w:r w:rsidRPr="003F3B0B">
        <w:fldChar w:fldCharType="begin"/>
      </w:r>
      <w:r w:rsidRPr="003F3B0B">
        <w:instrText xml:space="preserve"> SEQ Figure \* ARABIC </w:instrText>
      </w:r>
      <w:r w:rsidRPr="003F3B0B">
        <w:fldChar w:fldCharType="separate"/>
      </w:r>
      <w:r w:rsidRPr="003F3B0B">
        <w:rPr>
          <w:noProof/>
        </w:rPr>
        <w:t>5</w:t>
      </w:r>
      <w:r w:rsidRPr="003F3B0B">
        <w:rPr>
          <w:noProof/>
        </w:rPr>
        <w:fldChar w:fldCharType="end"/>
      </w:r>
      <w:r w:rsidRPr="003F3B0B">
        <w:t>.</w:t>
      </w:r>
      <w:proofErr w:type="gramEnd"/>
      <w:r w:rsidRPr="003F3B0B">
        <w:t xml:space="preserve"> </w:t>
      </w:r>
      <w:proofErr w:type="gramStart"/>
      <w:r w:rsidRPr="003F3B0B">
        <w:t xml:space="preserve">Design of fretting rig, without dead weight normal loading </w:t>
      </w:r>
      <w:r w:rsidRPr="003F3B0B">
        <w:rPr>
          <w:noProof/>
        </w:rPr>
        <w:t>showing the crossed cylinder test speciment configuration.</w:t>
      </w:r>
      <w:proofErr w:type="gramEnd"/>
    </w:p>
    <w:p w14:paraId="4AC6A202" w14:textId="77777777" w:rsidR="003F3B0B" w:rsidRPr="003F3B0B" w:rsidRDefault="003F3B0B" w:rsidP="003F3B0B">
      <w:pPr>
        <w:jc w:val="center"/>
        <w:rPr>
          <w:noProof/>
        </w:rPr>
      </w:pPr>
    </w:p>
    <w:p w14:paraId="41420EE1" w14:textId="77777777" w:rsidR="003F3B0B" w:rsidRPr="003F3B0B" w:rsidRDefault="003F3B0B" w:rsidP="003F3B0B">
      <w:pPr>
        <w:pStyle w:val="Quote"/>
        <w:rPr>
          <w:color w:val="auto"/>
        </w:rPr>
      </w:pPr>
      <w:r w:rsidRPr="003F3B0B">
        <w:rPr>
          <w:noProof/>
          <w:color w:val="auto"/>
          <w:lang w:eastAsia="en-IE"/>
        </w:rPr>
        <w:lastRenderedPageBreak/>
        <w:drawing>
          <wp:inline distT="0" distB="0" distL="0" distR="0" wp14:anchorId="4CB09854" wp14:editId="2DD09CAB">
            <wp:extent cx="5731510" cy="196917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1969177"/>
                    </a:xfrm>
                    <a:prstGeom prst="rect">
                      <a:avLst/>
                    </a:prstGeom>
                    <a:noFill/>
                    <a:ln>
                      <a:noFill/>
                    </a:ln>
                  </pic:spPr>
                </pic:pic>
              </a:graphicData>
            </a:graphic>
          </wp:inline>
        </w:drawing>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5"/>
        <w:gridCol w:w="3038"/>
        <w:gridCol w:w="2973"/>
      </w:tblGrid>
      <w:tr w:rsidR="003F3B0B" w:rsidRPr="003F3B0B" w14:paraId="5A11CB8E" w14:textId="77777777" w:rsidTr="007B70DB">
        <w:tc>
          <w:tcPr>
            <w:tcW w:w="3265" w:type="dxa"/>
          </w:tcPr>
          <w:p w14:paraId="1E4193A6" w14:textId="77777777" w:rsidR="003F3B0B" w:rsidRPr="003F3B0B" w:rsidRDefault="003F3B0B" w:rsidP="007B70DB">
            <w:pPr>
              <w:jc w:val="center"/>
              <w:textAlignment w:val="baseline"/>
            </w:pPr>
            <w:r w:rsidRPr="003F3B0B">
              <w:t>(a)</w:t>
            </w:r>
          </w:p>
        </w:tc>
        <w:tc>
          <w:tcPr>
            <w:tcW w:w="3038" w:type="dxa"/>
          </w:tcPr>
          <w:p w14:paraId="54CA0CD6" w14:textId="77777777" w:rsidR="003F3B0B" w:rsidRPr="003F3B0B" w:rsidRDefault="003F3B0B" w:rsidP="007B70DB">
            <w:pPr>
              <w:jc w:val="center"/>
              <w:textAlignment w:val="baseline"/>
            </w:pPr>
            <w:r w:rsidRPr="003F3B0B">
              <w:t>(b)</w:t>
            </w:r>
          </w:p>
        </w:tc>
        <w:tc>
          <w:tcPr>
            <w:tcW w:w="2973" w:type="dxa"/>
          </w:tcPr>
          <w:p w14:paraId="665B5D29" w14:textId="77777777" w:rsidR="003F3B0B" w:rsidRPr="003F3B0B" w:rsidRDefault="003F3B0B" w:rsidP="007B70DB">
            <w:pPr>
              <w:jc w:val="center"/>
              <w:textAlignment w:val="baseline"/>
            </w:pPr>
            <w:r w:rsidRPr="003F3B0B">
              <w:t>(c)</w:t>
            </w:r>
          </w:p>
        </w:tc>
      </w:tr>
    </w:tbl>
    <w:p w14:paraId="77BAE25F" w14:textId="77777777" w:rsidR="003F3B0B" w:rsidRPr="003F3B0B" w:rsidRDefault="003F3B0B" w:rsidP="003F3B0B">
      <w:pPr>
        <w:pStyle w:val="Caption"/>
      </w:pPr>
      <w:proofErr w:type="gramStart"/>
      <w:r w:rsidRPr="003F3B0B">
        <w:t xml:space="preserve">Figure </w:t>
      </w:r>
      <w:r w:rsidRPr="003F3B0B">
        <w:fldChar w:fldCharType="begin"/>
      </w:r>
      <w:r w:rsidRPr="003F3B0B">
        <w:instrText xml:space="preserve"> SEQ Figure \* ARABIC </w:instrText>
      </w:r>
      <w:r w:rsidRPr="003F3B0B">
        <w:fldChar w:fldCharType="separate"/>
      </w:r>
      <w:r w:rsidRPr="003F3B0B">
        <w:rPr>
          <w:noProof/>
        </w:rPr>
        <w:t>6</w:t>
      </w:r>
      <w:r w:rsidRPr="003F3B0B">
        <w:rPr>
          <w:noProof/>
        </w:rPr>
        <w:fldChar w:fldCharType="end"/>
      </w:r>
      <w:r w:rsidRPr="003F3B0B">
        <w:t>.</w:t>
      </w:r>
      <w:proofErr w:type="gramEnd"/>
      <w:r w:rsidRPr="003F3B0B">
        <w:t xml:space="preserve"> </w:t>
      </w:r>
      <w:proofErr w:type="gramStart"/>
      <w:r w:rsidRPr="003F3B0B">
        <w:t xml:space="preserve">Schematic diagram of an ideal fretting loop in the (a) partial slip regime, and (b) gross slip regime, (c) fretting loop with high </w:t>
      </w:r>
      <w:proofErr w:type="spellStart"/>
      <w:r w:rsidRPr="003F3B0B">
        <w:t>tractional</w:t>
      </w:r>
      <w:proofErr w:type="spellEnd"/>
      <w:r w:rsidRPr="003F3B0B">
        <w:t xml:space="preserve"> force peak at the ends of gross slip.</w:t>
      </w:r>
      <w:proofErr w:type="gramEnd"/>
    </w:p>
    <w:p w14:paraId="578B43E8" w14:textId="77777777" w:rsidR="003F3B0B" w:rsidRPr="003F3B0B" w:rsidRDefault="003F3B0B" w:rsidP="003F3B0B">
      <w:pPr>
        <w:pStyle w:val="Quote"/>
        <w:rPr>
          <w:color w:val="auto"/>
        </w:rPr>
      </w:pPr>
    </w:p>
    <w:p w14:paraId="14B8FC9E" w14:textId="77777777" w:rsidR="003F3B0B" w:rsidRPr="003F3B0B" w:rsidRDefault="003F3B0B" w:rsidP="003F3B0B">
      <w:pPr>
        <w:pStyle w:val="Quote"/>
        <w:rPr>
          <w:color w:val="auto"/>
        </w:rPr>
      </w:pPr>
    </w:p>
    <w:p w14:paraId="17BFEB01" w14:textId="77777777" w:rsidR="003F3B0B" w:rsidRPr="003F3B0B" w:rsidRDefault="003F3B0B" w:rsidP="003F3B0B"/>
    <w:p w14:paraId="38A74248" w14:textId="77777777" w:rsidR="003F3B0B" w:rsidRPr="003F3B0B" w:rsidRDefault="003F3B0B" w:rsidP="003F3B0B"/>
    <w:p w14:paraId="03A6917C" w14:textId="77777777" w:rsidR="003F3B0B" w:rsidRPr="003F3B0B" w:rsidRDefault="003F3B0B" w:rsidP="003F3B0B"/>
    <w:p w14:paraId="282806E8" w14:textId="77777777" w:rsidR="003F3B0B" w:rsidRPr="003F3B0B" w:rsidRDefault="003F3B0B" w:rsidP="003F3B0B"/>
    <w:p w14:paraId="229DC95A" w14:textId="77777777" w:rsidR="003F3B0B" w:rsidRPr="003F3B0B" w:rsidRDefault="003F3B0B" w:rsidP="003F3B0B"/>
    <w:p w14:paraId="1A4237B9" w14:textId="77777777" w:rsidR="003F3B0B" w:rsidRPr="003F3B0B" w:rsidRDefault="003F3B0B" w:rsidP="003F3B0B"/>
    <w:p w14:paraId="79606642" w14:textId="77777777" w:rsidR="003F3B0B" w:rsidRPr="003F3B0B" w:rsidRDefault="003F3B0B" w:rsidP="003F3B0B"/>
    <w:p w14:paraId="023FD8B5" w14:textId="77777777" w:rsidR="003F3B0B" w:rsidRPr="003F3B0B" w:rsidRDefault="003F3B0B" w:rsidP="003F3B0B"/>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3F3B0B" w:rsidRPr="003F3B0B" w14:paraId="2776E274" w14:textId="77777777" w:rsidTr="007B70DB">
        <w:trPr>
          <w:jc w:val="center"/>
        </w:trPr>
        <w:tc>
          <w:tcPr>
            <w:tcW w:w="7937" w:type="dxa"/>
          </w:tcPr>
          <w:p w14:paraId="66694C6D" w14:textId="77777777" w:rsidR="003F3B0B" w:rsidRPr="003F3B0B" w:rsidRDefault="003F3B0B" w:rsidP="007B70DB">
            <w:pPr>
              <w:pStyle w:val="Quote"/>
              <w:rPr>
                <w:color w:val="auto"/>
              </w:rPr>
            </w:pPr>
            <w:r w:rsidRPr="003F3B0B">
              <w:rPr>
                <w:noProof/>
                <w:color w:val="auto"/>
                <w:lang w:eastAsia="en-IE"/>
              </w:rPr>
              <w:lastRenderedPageBreak/>
              <w:drawing>
                <wp:inline distT="0" distB="0" distL="0" distR="0" wp14:anchorId="371710E8" wp14:editId="0AF06462">
                  <wp:extent cx="5534025" cy="33069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37133" cy="3308834"/>
                          </a:xfrm>
                          <a:prstGeom prst="rect">
                            <a:avLst/>
                          </a:prstGeom>
                          <a:noFill/>
                        </pic:spPr>
                      </pic:pic>
                    </a:graphicData>
                  </a:graphic>
                </wp:inline>
              </w:drawing>
            </w:r>
          </w:p>
          <w:p w14:paraId="70A5E609" w14:textId="77777777" w:rsidR="003F3B0B" w:rsidRPr="003F3B0B" w:rsidRDefault="003F3B0B" w:rsidP="007B70DB">
            <w:pPr>
              <w:pStyle w:val="ListParagraph"/>
              <w:numPr>
                <w:ilvl w:val="0"/>
                <w:numId w:val="4"/>
              </w:numPr>
              <w:spacing w:after="0"/>
              <w:jc w:val="center"/>
            </w:pPr>
          </w:p>
        </w:tc>
      </w:tr>
      <w:tr w:rsidR="003F3B0B" w:rsidRPr="003F3B0B" w14:paraId="18184B61" w14:textId="77777777" w:rsidTr="007B70DB">
        <w:trPr>
          <w:jc w:val="center"/>
        </w:trPr>
        <w:tc>
          <w:tcPr>
            <w:tcW w:w="7937" w:type="dxa"/>
          </w:tcPr>
          <w:p w14:paraId="16DA474C" w14:textId="77777777" w:rsidR="003F3B0B" w:rsidRPr="003F3B0B" w:rsidRDefault="003F3B0B" w:rsidP="007B70DB">
            <w:pPr>
              <w:pStyle w:val="Quote"/>
              <w:jc w:val="both"/>
              <w:rPr>
                <w:color w:val="auto"/>
              </w:rPr>
            </w:pPr>
            <w:r w:rsidRPr="003F3B0B">
              <w:rPr>
                <w:noProof/>
                <w:color w:val="auto"/>
                <w:lang w:eastAsia="en-IE"/>
              </w:rPr>
              <w:drawing>
                <wp:inline distT="0" distB="0" distL="0" distR="0" wp14:anchorId="4347BDBF" wp14:editId="3247206E">
                  <wp:extent cx="5437015" cy="3143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37786" cy="3143696"/>
                          </a:xfrm>
                          <a:prstGeom prst="rect">
                            <a:avLst/>
                          </a:prstGeom>
                          <a:noFill/>
                        </pic:spPr>
                      </pic:pic>
                    </a:graphicData>
                  </a:graphic>
                </wp:inline>
              </w:drawing>
            </w:r>
          </w:p>
          <w:p w14:paraId="4EEDE934" w14:textId="77777777" w:rsidR="003F3B0B" w:rsidRPr="003F3B0B" w:rsidRDefault="003F3B0B" w:rsidP="007B70DB">
            <w:pPr>
              <w:pStyle w:val="ListParagraph"/>
              <w:numPr>
                <w:ilvl w:val="0"/>
                <w:numId w:val="4"/>
              </w:numPr>
              <w:spacing w:after="0"/>
              <w:jc w:val="center"/>
            </w:pPr>
          </w:p>
        </w:tc>
      </w:tr>
    </w:tbl>
    <w:p w14:paraId="771099C2" w14:textId="77777777" w:rsidR="003F3B0B" w:rsidRPr="003F3B0B" w:rsidRDefault="003F3B0B" w:rsidP="003F3B0B">
      <w:pPr>
        <w:pStyle w:val="Caption"/>
      </w:pPr>
      <w:proofErr w:type="gramStart"/>
      <w:r w:rsidRPr="003F3B0B">
        <w:t xml:space="preserve">Figure </w:t>
      </w:r>
      <w:r w:rsidRPr="003F3B0B">
        <w:fldChar w:fldCharType="begin"/>
      </w:r>
      <w:r w:rsidRPr="003F3B0B">
        <w:instrText xml:space="preserve"> SEQ Figure \* ARABIC </w:instrText>
      </w:r>
      <w:r w:rsidRPr="003F3B0B">
        <w:fldChar w:fldCharType="separate"/>
      </w:r>
      <w:r w:rsidRPr="003F3B0B">
        <w:rPr>
          <w:noProof/>
        </w:rPr>
        <w:t>7</w:t>
      </w:r>
      <w:r w:rsidRPr="003F3B0B">
        <w:rPr>
          <w:noProof/>
        </w:rPr>
        <w:fldChar w:fldCharType="end"/>
      </w:r>
      <w:r w:rsidRPr="003F3B0B">
        <w:t>.</w:t>
      </w:r>
      <w:proofErr w:type="gramEnd"/>
      <w:r w:rsidRPr="003F3B0B">
        <w:t xml:space="preserve"> </w:t>
      </w:r>
      <w:r w:rsidRPr="003F3B0B">
        <w:rPr>
          <w:noProof/>
        </w:rPr>
        <w:t>Measured</w:t>
      </w:r>
      <w:r w:rsidRPr="003F3B0B">
        <w:t xml:space="preserve"> </w:t>
      </w:r>
      <w:r w:rsidRPr="003F3B0B">
        <w:rPr>
          <w:noProof/>
        </w:rPr>
        <w:t>evolution</w:t>
      </w:r>
      <w:r w:rsidRPr="003F3B0B">
        <w:t xml:space="preserve"> of </w:t>
      </w:r>
      <w:proofErr w:type="spellStart"/>
      <w:r w:rsidRPr="003F3B0B">
        <w:t>ECoF</w:t>
      </w:r>
      <w:proofErr w:type="spellEnd"/>
      <w:r w:rsidRPr="003F3B0B">
        <w:t xml:space="preserve"> and traction coefficients with </w:t>
      </w:r>
      <w:r w:rsidRPr="003F3B0B">
        <w:rPr>
          <w:noProof/>
        </w:rPr>
        <w:t>number</w:t>
      </w:r>
      <w:r w:rsidRPr="003F3B0B">
        <w:t xml:space="preserve"> of fretting cycles for specimen with </w:t>
      </w:r>
      <w:r w:rsidRPr="003F3B0B">
        <w:rPr>
          <w:noProof/>
        </w:rPr>
        <w:t>normal</w:t>
      </w:r>
      <w:r w:rsidRPr="003F3B0B">
        <w:t xml:space="preserve"> load of</w:t>
      </w:r>
      <w:r w:rsidRPr="003F3B0B">
        <w:rPr>
          <w:i/>
        </w:rPr>
        <w:t xml:space="preserve"> P</w:t>
      </w:r>
      <w:r w:rsidRPr="003F3B0B">
        <w:t xml:space="preserve"> for (a) gross-slip (contact pressure between 890 and 1270 MPa), and (b) mixed and partial slip conditions (contact pressure between 1350 and 1730 MPa).</w:t>
      </w:r>
    </w:p>
    <w:p w14:paraId="52E7994B" w14:textId="77777777" w:rsidR="003F3B0B" w:rsidRPr="003F3B0B" w:rsidRDefault="003F3B0B" w:rsidP="003F3B0B"/>
    <w:p w14:paraId="19F0A8CA" w14:textId="77777777" w:rsidR="003F3B0B" w:rsidRPr="003F3B0B" w:rsidRDefault="003F3B0B" w:rsidP="003F3B0B">
      <w:pPr>
        <w:jc w:val="center"/>
        <w:rPr>
          <w:rFonts w:cs="Times New Roman"/>
          <w:b/>
          <w:sz w:val="28"/>
          <w:szCs w:val="28"/>
        </w:rPr>
      </w:pPr>
    </w:p>
    <w:p w14:paraId="40881F5B" w14:textId="77777777" w:rsidR="003F3B0B" w:rsidRPr="003F3B0B" w:rsidRDefault="003F3B0B" w:rsidP="003F3B0B">
      <w:pPr>
        <w:pStyle w:val="Quote"/>
        <w:rPr>
          <w:color w:val="auto"/>
        </w:rPr>
      </w:pPr>
      <w:r w:rsidRPr="003F3B0B">
        <w:rPr>
          <w:noProof/>
          <w:color w:val="auto"/>
          <w:lang w:eastAsia="en-IE"/>
        </w:rPr>
        <w:drawing>
          <wp:inline distT="0" distB="0" distL="0" distR="0" wp14:anchorId="6DB3DFD8" wp14:editId="289F510A">
            <wp:extent cx="4860000" cy="300339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60000" cy="3003399"/>
                    </a:xfrm>
                    <a:prstGeom prst="rect">
                      <a:avLst/>
                    </a:prstGeom>
                    <a:noFill/>
                    <a:ln>
                      <a:noFill/>
                    </a:ln>
                  </pic:spPr>
                </pic:pic>
              </a:graphicData>
            </a:graphic>
          </wp:inline>
        </w:drawing>
      </w:r>
    </w:p>
    <w:p w14:paraId="4127B4F5" w14:textId="77777777" w:rsidR="003F3B0B" w:rsidRPr="003F3B0B" w:rsidRDefault="003F3B0B" w:rsidP="003F3B0B">
      <w:pPr>
        <w:pStyle w:val="Caption"/>
      </w:pPr>
      <w:proofErr w:type="gramStart"/>
      <w:r w:rsidRPr="003F3B0B">
        <w:t xml:space="preserve">Figure </w:t>
      </w:r>
      <w:r w:rsidRPr="003F3B0B">
        <w:fldChar w:fldCharType="begin"/>
      </w:r>
      <w:r w:rsidRPr="003F3B0B">
        <w:instrText xml:space="preserve"> SEQ Figure \* ARABIC </w:instrText>
      </w:r>
      <w:r w:rsidRPr="003F3B0B">
        <w:fldChar w:fldCharType="separate"/>
      </w:r>
      <w:r w:rsidRPr="003F3B0B">
        <w:rPr>
          <w:noProof/>
        </w:rPr>
        <w:t>8</w:t>
      </w:r>
      <w:r w:rsidRPr="003F3B0B">
        <w:rPr>
          <w:noProof/>
        </w:rPr>
        <w:fldChar w:fldCharType="end"/>
      </w:r>
      <w:r w:rsidRPr="003F3B0B">
        <w:t>.</w:t>
      </w:r>
      <w:proofErr w:type="gramEnd"/>
      <w:r w:rsidRPr="003F3B0B">
        <w:t xml:space="preserve"> </w:t>
      </w:r>
      <w:proofErr w:type="gramStart"/>
      <w:r w:rsidRPr="003F3B0B">
        <w:t>Time histories of normalised results from dynamic riser analysis.</w:t>
      </w:r>
      <w:proofErr w:type="gramEnd"/>
    </w:p>
    <w:p w14:paraId="2B55FF1C" w14:textId="77777777" w:rsidR="003F3B0B" w:rsidRPr="003F3B0B" w:rsidRDefault="003F3B0B" w:rsidP="003F3B0B">
      <w:pPr>
        <w:jc w:val="center"/>
        <w:rPr>
          <w:rFonts w:cs="Times New Roman"/>
          <w:b/>
          <w:sz w:val="28"/>
          <w:szCs w:val="28"/>
        </w:rPr>
      </w:pPr>
    </w:p>
    <w:p w14:paraId="1D28A26D" w14:textId="77777777" w:rsidR="003F3B0B" w:rsidRPr="003F3B0B" w:rsidRDefault="003F3B0B" w:rsidP="003F3B0B">
      <w:pPr>
        <w:jc w:val="center"/>
        <w:rPr>
          <w:rFonts w:cs="Times New Roman"/>
          <w:b/>
          <w:sz w:val="28"/>
          <w:szCs w:val="28"/>
        </w:rPr>
      </w:pPr>
    </w:p>
    <w:p w14:paraId="3AEBED7D" w14:textId="77777777" w:rsidR="003F3B0B" w:rsidRPr="003F3B0B" w:rsidRDefault="003F3B0B" w:rsidP="003F3B0B">
      <w:pPr>
        <w:pStyle w:val="Quote"/>
        <w:rPr>
          <w:color w:val="auto"/>
        </w:rPr>
      </w:pPr>
      <w:r w:rsidRPr="003F3B0B">
        <w:rPr>
          <w:noProof/>
          <w:color w:val="auto"/>
          <w:lang w:eastAsia="en-IE"/>
        </w:rPr>
        <w:drawing>
          <wp:inline distT="0" distB="0" distL="0" distR="0" wp14:anchorId="02F4B1F2" wp14:editId="005B4512">
            <wp:extent cx="5721674" cy="2147776"/>
            <wp:effectExtent l="0" t="0" r="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13676"/>
                    <a:stretch/>
                  </pic:blipFill>
                  <pic:spPr bwMode="auto">
                    <a:xfrm>
                      <a:off x="0" y="0"/>
                      <a:ext cx="5731510" cy="2151468"/>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3F3B0B" w:rsidRPr="003F3B0B" w14:paraId="1D480F29" w14:textId="77777777" w:rsidTr="007B70DB">
        <w:tc>
          <w:tcPr>
            <w:tcW w:w="4621" w:type="dxa"/>
          </w:tcPr>
          <w:p w14:paraId="0802AF9A" w14:textId="77777777" w:rsidR="003F3B0B" w:rsidRPr="003F3B0B" w:rsidRDefault="003F3B0B" w:rsidP="007B70DB">
            <w:pPr>
              <w:jc w:val="center"/>
            </w:pPr>
            <w:r w:rsidRPr="003F3B0B">
              <w:t>(a)</w:t>
            </w:r>
          </w:p>
        </w:tc>
        <w:tc>
          <w:tcPr>
            <w:tcW w:w="4621" w:type="dxa"/>
          </w:tcPr>
          <w:p w14:paraId="6A175C97" w14:textId="77777777" w:rsidR="003F3B0B" w:rsidRPr="003F3B0B" w:rsidRDefault="003F3B0B" w:rsidP="007B70DB">
            <w:pPr>
              <w:jc w:val="center"/>
            </w:pPr>
            <w:r w:rsidRPr="003F3B0B">
              <w:t>(b)</w:t>
            </w:r>
          </w:p>
        </w:tc>
      </w:tr>
    </w:tbl>
    <w:p w14:paraId="707A467F" w14:textId="77777777" w:rsidR="003F3B0B" w:rsidRPr="003F3B0B" w:rsidRDefault="003F3B0B" w:rsidP="003F3B0B">
      <w:pPr>
        <w:pStyle w:val="Caption"/>
      </w:pPr>
      <w:proofErr w:type="gramStart"/>
      <w:r w:rsidRPr="003F3B0B">
        <w:t xml:space="preserve">Figure </w:t>
      </w:r>
      <w:r w:rsidRPr="003F3B0B">
        <w:fldChar w:fldCharType="begin"/>
      </w:r>
      <w:r w:rsidRPr="003F3B0B">
        <w:instrText xml:space="preserve"> SEQ Figure \* ARABIC </w:instrText>
      </w:r>
      <w:r w:rsidRPr="003F3B0B">
        <w:fldChar w:fldCharType="separate"/>
      </w:r>
      <w:r w:rsidRPr="003F3B0B">
        <w:rPr>
          <w:noProof/>
        </w:rPr>
        <w:t>9</w:t>
      </w:r>
      <w:r w:rsidRPr="003F3B0B">
        <w:rPr>
          <w:noProof/>
        </w:rPr>
        <w:fldChar w:fldCharType="end"/>
      </w:r>
      <w:r w:rsidRPr="003F3B0B">
        <w:t>.</w:t>
      </w:r>
      <w:proofErr w:type="gramEnd"/>
      <w:r w:rsidRPr="003F3B0B">
        <w:t xml:space="preserve"> </w:t>
      </w:r>
      <w:r w:rsidRPr="003F3B0B">
        <w:rPr>
          <w:noProof/>
        </w:rPr>
        <w:t>Envelope of minimum and maximum (a) axial tensile force and (b) riser curvature along the length of the 6 inch riser jumper.</w:t>
      </w:r>
    </w:p>
    <w:p w14:paraId="1DEF7598" w14:textId="77777777" w:rsidR="003F3B0B" w:rsidRPr="003F3B0B" w:rsidRDefault="003F3B0B" w:rsidP="003F3B0B">
      <w:pPr>
        <w:pStyle w:val="Quote"/>
        <w:rPr>
          <w:color w:val="auto"/>
        </w:rPr>
      </w:pPr>
    </w:p>
    <w:p w14:paraId="067EFAA6" w14:textId="77777777" w:rsidR="003F3B0B" w:rsidRPr="003F3B0B" w:rsidRDefault="003F3B0B" w:rsidP="003F3B0B"/>
    <w:p w14:paraId="50626F25" w14:textId="77777777" w:rsidR="003F3B0B" w:rsidRPr="003F3B0B" w:rsidRDefault="003F3B0B" w:rsidP="003F3B0B">
      <w:pPr>
        <w:jc w:val="center"/>
      </w:pPr>
      <w:r w:rsidRPr="003F3B0B">
        <w:rPr>
          <w:noProof/>
          <w:lang w:eastAsia="en-IE"/>
        </w:rPr>
        <w:lastRenderedPageBreak/>
        <w:drawing>
          <wp:inline distT="0" distB="0" distL="0" distR="0" wp14:anchorId="487560D7" wp14:editId="5A10E367">
            <wp:extent cx="4622931" cy="2961564"/>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57334" cy="2983603"/>
                    </a:xfrm>
                    <a:prstGeom prst="rect">
                      <a:avLst/>
                    </a:prstGeom>
                    <a:noFill/>
                    <a:ln>
                      <a:noFill/>
                    </a:ln>
                  </pic:spPr>
                </pic:pic>
              </a:graphicData>
            </a:graphic>
          </wp:inline>
        </w:drawing>
      </w:r>
    </w:p>
    <w:p w14:paraId="6B4ECB29" w14:textId="77777777" w:rsidR="003F3B0B" w:rsidRPr="003F3B0B" w:rsidRDefault="003F3B0B" w:rsidP="003F3B0B">
      <w:pPr>
        <w:pStyle w:val="Caption"/>
      </w:pPr>
      <w:proofErr w:type="gramStart"/>
      <w:r w:rsidRPr="003F3B0B">
        <w:t xml:space="preserve">Figure </w:t>
      </w:r>
      <w:r w:rsidRPr="003F3B0B">
        <w:fldChar w:fldCharType="begin"/>
      </w:r>
      <w:r w:rsidRPr="003F3B0B">
        <w:instrText xml:space="preserve"> SEQ Figure \* ARABIC </w:instrText>
      </w:r>
      <w:r w:rsidRPr="003F3B0B">
        <w:fldChar w:fldCharType="separate"/>
      </w:r>
      <w:r w:rsidRPr="003F3B0B">
        <w:rPr>
          <w:noProof/>
        </w:rPr>
        <w:t>10</w:t>
      </w:r>
      <w:r w:rsidRPr="003F3B0B">
        <w:rPr>
          <w:noProof/>
        </w:rPr>
        <w:fldChar w:fldCharType="end"/>
      </w:r>
      <w:r w:rsidRPr="003F3B0B">
        <w:t>.</w:t>
      </w:r>
      <w:proofErr w:type="gramEnd"/>
      <w:r w:rsidRPr="003F3B0B">
        <w:t xml:space="preserve"> </w:t>
      </w:r>
      <w:proofErr w:type="gramStart"/>
      <w:r w:rsidRPr="003F3B0B">
        <w:t>Curvature-slip relationship for the different risers used in this study.</w:t>
      </w:r>
      <w:proofErr w:type="gramEnd"/>
    </w:p>
    <w:p w14:paraId="48D4D33D" w14:textId="77777777" w:rsidR="003F3B0B" w:rsidRPr="003F3B0B" w:rsidRDefault="003F3B0B" w:rsidP="003F3B0B">
      <w:pPr>
        <w:pStyle w:val="Quote"/>
        <w:rPr>
          <w:color w:val="auto"/>
        </w:rPr>
      </w:pPr>
    </w:p>
    <w:p w14:paraId="27B8A1DB" w14:textId="77777777" w:rsidR="003F3B0B" w:rsidRPr="003F3B0B" w:rsidRDefault="003F3B0B" w:rsidP="003F3B0B"/>
    <w:p w14:paraId="7126081A" w14:textId="77777777" w:rsidR="003F3B0B" w:rsidRPr="003F3B0B" w:rsidRDefault="003F3B0B" w:rsidP="003F3B0B"/>
    <w:p w14:paraId="5B11BA77" w14:textId="77777777" w:rsidR="003F3B0B" w:rsidRPr="003F3B0B" w:rsidRDefault="003F3B0B" w:rsidP="003F3B0B">
      <w:pPr>
        <w:pStyle w:val="Quote"/>
        <w:rPr>
          <w:color w:val="auto"/>
        </w:rPr>
      </w:pPr>
      <w:r w:rsidRPr="003F3B0B">
        <w:rPr>
          <w:noProof/>
          <w:color w:val="auto"/>
          <w:lang w:eastAsia="en-IE"/>
        </w:rPr>
        <w:drawing>
          <wp:inline distT="0" distB="0" distL="0" distR="0" wp14:anchorId="54F0C50D" wp14:editId="33C46D5F">
            <wp:extent cx="4601699" cy="2947916"/>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37">
                      <a:extLst>
                        <a:ext uri="{28A0092B-C50C-407E-A947-70E740481C1C}">
                          <a14:useLocalDpi xmlns:a14="http://schemas.microsoft.com/office/drawing/2010/main" val="0"/>
                        </a:ext>
                      </a:extLst>
                    </a:blip>
                    <a:srcRect l="9302"/>
                    <a:stretch/>
                  </pic:blipFill>
                  <pic:spPr bwMode="auto">
                    <a:xfrm>
                      <a:off x="0" y="0"/>
                      <a:ext cx="4620594" cy="2960020"/>
                    </a:xfrm>
                    <a:prstGeom prst="rect">
                      <a:avLst/>
                    </a:prstGeom>
                    <a:noFill/>
                    <a:ln>
                      <a:noFill/>
                    </a:ln>
                    <a:extLst>
                      <a:ext uri="{53640926-AAD7-44D8-BBD7-CCE9431645EC}">
                        <a14:shadowObscured xmlns:a14="http://schemas.microsoft.com/office/drawing/2010/main"/>
                      </a:ext>
                    </a:extLst>
                  </pic:spPr>
                </pic:pic>
              </a:graphicData>
            </a:graphic>
          </wp:inline>
        </w:drawing>
      </w:r>
    </w:p>
    <w:p w14:paraId="522B4C28" w14:textId="77777777" w:rsidR="003F3B0B" w:rsidRPr="003F3B0B" w:rsidRDefault="003F3B0B" w:rsidP="003F3B0B">
      <w:pPr>
        <w:pStyle w:val="Caption"/>
      </w:pPr>
      <w:proofErr w:type="gramStart"/>
      <w:r w:rsidRPr="003F3B0B">
        <w:t xml:space="preserve">Figure </w:t>
      </w:r>
      <w:r w:rsidRPr="003F3B0B">
        <w:fldChar w:fldCharType="begin"/>
      </w:r>
      <w:r w:rsidRPr="003F3B0B">
        <w:instrText xml:space="preserve"> SEQ Figure \* ARABIC </w:instrText>
      </w:r>
      <w:r w:rsidRPr="003F3B0B">
        <w:fldChar w:fldCharType="separate"/>
      </w:r>
      <w:r w:rsidRPr="003F3B0B">
        <w:rPr>
          <w:noProof/>
        </w:rPr>
        <w:t>11</w:t>
      </w:r>
      <w:r w:rsidRPr="003F3B0B">
        <w:rPr>
          <w:noProof/>
        </w:rPr>
        <w:fldChar w:fldCharType="end"/>
      </w:r>
      <w:r w:rsidRPr="003F3B0B">
        <w:t>.</w:t>
      </w:r>
      <w:proofErr w:type="gramEnd"/>
      <w:r w:rsidRPr="003F3B0B">
        <w:t xml:space="preserve"> </w:t>
      </w:r>
      <w:proofErr w:type="gramStart"/>
      <w:r w:rsidRPr="003F3B0B">
        <w:rPr>
          <w:noProof/>
        </w:rPr>
        <w:t>Number</w:t>
      </w:r>
      <w:r w:rsidRPr="003F3B0B">
        <w:t xml:space="preserve"> of cycles to crack initiation against nub-groove displacement for all three risers.</w:t>
      </w:r>
      <w:proofErr w:type="gramEnd"/>
    </w:p>
    <w:p w14:paraId="62158E12" w14:textId="77777777" w:rsidR="003F3B0B" w:rsidRPr="003F3B0B" w:rsidRDefault="003F3B0B" w:rsidP="003F3B0B"/>
    <w:p w14:paraId="6FF825D2" w14:textId="77777777" w:rsidR="003F3B0B" w:rsidRPr="003F3B0B" w:rsidRDefault="003F3B0B" w:rsidP="003F3B0B">
      <w:pPr>
        <w:pStyle w:val="Quote"/>
        <w:rPr>
          <w:color w:val="auto"/>
        </w:rPr>
      </w:pPr>
      <w:r w:rsidRPr="003F3B0B">
        <w:rPr>
          <w:noProof/>
          <w:color w:val="auto"/>
          <w:lang w:eastAsia="en-IE"/>
        </w:rPr>
        <w:lastRenderedPageBreak/>
        <w:drawing>
          <wp:inline distT="0" distB="0" distL="0" distR="0" wp14:anchorId="11A4B3B3" wp14:editId="768E99DD">
            <wp:extent cx="4315875" cy="2756848"/>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38">
                      <a:extLst>
                        <a:ext uri="{28A0092B-C50C-407E-A947-70E740481C1C}">
                          <a14:useLocalDpi xmlns:a14="http://schemas.microsoft.com/office/drawing/2010/main" val="0"/>
                        </a:ext>
                      </a:extLst>
                    </a:blip>
                    <a:srcRect l="6778"/>
                    <a:stretch/>
                  </pic:blipFill>
                  <pic:spPr bwMode="auto">
                    <a:xfrm>
                      <a:off x="0" y="0"/>
                      <a:ext cx="4320473" cy="2759785"/>
                    </a:xfrm>
                    <a:prstGeom prst="rect">
                      <a:avLst/>
                    </a:prstGeom>
                    <a:noFill/>
                    <a:ln>
                      <a:noFill/>
                    </a:ln>
                    <a:extLst>
                      <a:ext uri="{53640926-AAD7-44D8-BBD7-CCE9431645EC}">
                        <a14:shadowObscured xmlns:a14="http://schemas.microsoft.com/office/drawing/2010/main"/>
                      </a:ext>
                    </a:extLst>
                  </pic:spPr>
                </pic:pic>
              </a:graphicData>
            </a:graphic>
          </wp:inline>
        </w:drawing>
      </w:r>
    </w:p>
    <w:p w14:paraId="1DCFEEF7" w14:textId="77777777" w:rsidR="003F3B0B" w:rsidRPr="003F3B0B" w:rsidRDefault="003F3B0B" w:rsidP="003F3B0B">
      <w:pPr>
        <w:pStyle w:val="Caption"/>
      </w:pPr>
      <w:proofErr w:type="gramStart"/>
      <w:r w:rsidRPr="003F3B0B">
        <w:t xml:space="preserve">Figure </w:t>
      </w:r>
      <w:r w:rsidRPr="003F3B0B">
        <w:fldChar w:fldCharType="begin"/>
      </w:r>
      <w:r w:rsidRPr="003F3B0B">
        <w:instrText xml:space="preserve"> SEQ Figure \* ARABIC </w:instrText>
      </w:r>
      <w:r w:rsidRPr="003F3B0B">
        <w:fldChar w:fldCharType="separate"/>
      </w:r>
      <w:r w:rsidRPr="003F3B0B">
        <w:rPr>
          <w:noProof/>
        </w:rPr>
        <w:t>12</w:t>
      </w:r>
      <w:r w:rsidRPr="003F3B0B">
        <w:rPr>
          <w:noProof/>
        </w:rPr>
        <w:fldChar w:fldCharType="end"/>
      </w:r>
      <w:r w:rsidRPr="003F3B0B">
        <w:t>.</w:t>
      </w:r>
      <w:proofErr w:type="gramEnd"/>
      <w:r w:rsidRPr="003F3B0B">
        <w:t xml:space="preserve"> </w:t>
      </w:r>
      <w:proofErr w:type="gramStart"/>
      <w:r w:rsidRPr="003F3B0B">
        <w:rPr>
          <w:noProof/>
        </w:rPr>
        <w:t>Number</w:t>
      </w:r>
      <w:r w:rsidRPr="003F3B0B">
        <w:t xml:space="preserve"> of cycles to crack initiation against dynamic riser curvature for all three risers and definition of </w:t>
      </w:r>
      <w:proofErr w:type="spellStart"/>
      <w:r w:rsidRPr="003F3B0B">
        <w:rPr>
          <w:rFonts w:cs="Times New Roman"/>
          <w:i/>
        </w:rPr>
        <w:t>Δκ</w:t>
      </w:r>
      <w:r w:rsidRPr="003F3B0B">
        <w:rPr>
          <w:vertAlign w:val="subscript"/>
        </w:rPr>
        <w:t>crit</w:t>
      </w:r>
      <w:proofErr w:type="spellEnd"/>
      <w:r w:rsidRPr="003F3B0B">
        <w:rPr>
          <w:rFonts w:eastAsiaTheme="minorEastAsia"/>
        </w:rPr>
        <w:t xml:space="preserve"> for each riser case</w:t>
      </w:r>
      <w:r w:rsidRPr="003F3B0B">
        <w:t>.</w:t>
      </w:r>
      <w:proofErr w:type="gramEnd"/>
    </w:p>
    <w:p w14:paraId="4D0F2F01" w14:textId="77777777" w:rsidR="003F3B0B" w:rsidRPr="003F3B0B" w:rsidRDefault="003F3B0B" w:rsidP="003F3B0B">
      <w:pPr>
        <w:pStyle w:val="Quote"/>
        <w:rPr>
          <w:color w:val="auto"/>
        </w:rPr>
      </w:pPr>
    </w:p>
    <w:p w14:paraId="5A8B18D2" w14:textId="77777777" w:rsidR="003F3B0B" w:rsidRPr="003F3B0B" w:rsidRDefault="003F3B0B" w:rsidP="003F3B0B"/>
    <w:p w14:paraId="254419DD" w14:textId="77777777" w:rsidR="003F3B0B" w:rsidRPr="003F3B0B" w:rsidRDefault="003F3B0B" w:rsidP="003F3B0B">
      <w:pPr>
        <w:pStyle w:val="Quote"/>
        <w:rPr>
          <w:color w:val="auto"/>
        </w:rPr>
      </w:pPr>
      <w:r w:rsidRPr="003F3B0B">
        <w:rPr>
          <w:noProof/>
          <w:color w:val="auto"/>
          <w:lang w:eastAsia="en-IE"/>
        </w:rPr>
        <w:drawing>
          <wp:inline distT="0" distB="0" distL="0" distR="0" wp14:anchorId="57B1AA32" wp14:editId="55DB2431">
            <wp:extent cx="2778852" cy="180000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6739"/>
                    <a:stretch/>
                  </pic:blipFill>
                  <pic:spPr bwMode="auto">
                    <a:xfrm>
                      <a:off x="0" y="0"/>
                      <a:ext cx="2778852" cy="1800000"/>
                    </a:xfrm>
                    <a:prstGeom prst="rect">
                      <a:avLst/>
                    </a:prstGeom>
                    <a:noFill/>
                    <a:ln>
                      <a:noFill/>
                    </a:ln>
                    <a:extLst>
                      <a:ext uri="{53640926-AAD7-44D8-BBD7-CCE9431645EC}">
                        <a14:shadowObscured xmlns:a14="http://schemas.microsoft.com/office/drawing/2010/main"/>
                      </a:ext>
                    </a:extLst>
                  </pic:spPr>
                </pic:pic>
              </a:graphicData>
            </a:graphic>
          </wp:inline>
        </w:drawing>
      </w:r>
      <w:r w:rsidRPr="003F3B0B">
        <w:rPr>
          <w:noProof/>
          <w:color w:val="auto"/>
          <w:lang w:eastAsia="en-IE"/>
        </w:rPr>
        <w:drawing>
          <wp:inline distT="0" distB="0" distL="0" distR="0" wp14:anchorId="53085872" wp14:editId="0235F5CB">
            <wp:extent cx="2753933" cy="1743739"/>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6809"/>
                    <a:stretch/>
                  </pic:blipFill>
                  <pic:spPr bwMode="auto">
                    <a:xfrm>
                      <a:off x="0" y="0"/>
                      <a:ext cx="2757644" cy="1746089"/>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3F3B0B" w:rsidRPr="003F3B0B" w14:paraId="523800D3" w14:textId="77777777" w:rsidTr="007B70DB">
        <w:tc>
          <w:tcPr>
            <w:tcW w:w="4621" w:type="dxa"/>
          </w:tcPr>
          <w:p w14:paraId="40A10A81" w14:textId="77777777" w:rsidR="003F3B0B" w:rsidRPr="003F3B0B" w:rsidRDefault="003F3B0B" w:rsidP="007B70DB">
            <w:pPr>
              <w:jc w:val="center"/>
            </w:pPr>
            <w:r w:rsidRPr="003F3B0B">
              <w:t>(a)</w:t>
            </w:r>
          </w:p>
        </w:tc>
        <w:tc>
          <w:tcPr>
            <w:tcW w:w="4621" w:type="dxa"/>
          </w:tcPr>
          <w:p w14:paraId="7D1CBAD2" w14:textId="77777777" w:rsidR="003F3B0B" w:rsidRPr="003F3B0B" w:rsidRDefault="003F3B0B" w:rsidP="007B70DB">
            <w:pPr>
              <w:jc w:val="center"/>
            </w:pPr>
            <w:r w:rsidRPr="003F3B0B">
              <w:t>(b)</w:t>
            </w:r>
          </w:p>
        </w:tc>
      </w:tr>
    </w:tbl>
    <w:p w14:paraId="49848621" w14:textId="77777777" w:rsidR="003F3B0B" w:rsidRPr="003F3B0B" w:rsidRDefault="003F3B0B" w:rsidP="003F3B0B">
      <w:pPr>
        <w:pStyle w:val="Caption"/>
      </w:pPr>
      <w:proofErr w:type="gramStart"/>
      <w:r w:rsidRPr="003F3B0B">
        <w:t xml:space="preserve">Figure </w:t>
      </w:r>
      <w:r w:rsidRPr="003F3B0B">
        <w:fldChar w:fldCharType="begin"/>
      </w:r>
      <w:r w:rsidRPr="003F3B0B">
        <w:instrText xml:space="preserve"> SEQ Figure \* ARABIC </w:instrText>
      </w:r>
      <w:r w:rsidRPr="003F3B0B">
        <w:fldChar w:fldCharType="separate"/>
      </w:r>
      <w:r w:rsidRPr="003F3B0B">
        <w:rPr>
          <w:noProof/>
        </w:rPr>
        <w:t>13</w:t>
      </w:r>
      <w:r w:rsidRPr="003F3B0B">
        <w:rPr>
          <w:noProof/>
        </w:rPr>
        <w:fldChar w:fldCharType="end"/>
      </w:r>
      <w:r w:rsidRPr="003F3B0B">
        <w:t>.</w:t>
      </w:r>
      <w:proofErr w:type="gramEnd"/>
      <w:r w:rsidRPr="003F3B0B">
        <w:t xml:space="preserve"> </w:t>
      </w:r>
      <w:proofErr w:type="gramStart"/>
      <w:r w:rsidRPr="003F3B0B">
        <w:t>Effect of (a) nub-groove contact slip and (b) global riser curvature on number of cycles to crack initiation and propagation for the 6 inch riser.</w:t>
      </w:r>
      <w:proofErr w:type="gramEnd"/>
    </w:p>
    <w:p w14:paraId="7C1A73E8" w14:textId="77777777" w:rsidR="003F3B0B" w:rsidRPr="003F3B0B" w:rsidRDefault="003F3B0B" w:rsidP="003F3B0B">
      <w:pPr>
        <w:pStyle w:val="Caption"/>
      </w:pPr>
    </w:p>
    <w:p w14:paraId="1DDD75E8" w14:textId="77777777" w:rsidR="003F3B0B" w:rsidRPr="003F3B0B" w:rsidRDefault="003F3B0B" w:rsidP="003F3B0B"/>
    <w:p w14:paraId="54010B0A" w14:textId="77777777" w:rsidR="003F3B0B" w:rsidRPr="003F3B0B" w:rsidRDefault="003F3B0B" w:rsidP="003F3B0B">
      <w:pPr>
        <w:pStyle w:val="Quote"/>
        <w:rPr>
          <w:color w:val="auto"/>
        </w:rPr>
      </w:pPr>
      <w:r w:rsidRPr="003F3B0B">
        <w:rPr>
          <w:noProof/>
          <w:color w:val="auto"/>
          <w:lang w:eastAsia="en-IE"/>
        </w:rPr>
        <w:lastRenderedPageBreak/>
        <w:drawing>
          <wp:inline distT="0" distB="0" distL="0" distR="0" wp14:anchorId="6B232132" wp14:editId="3DBD5AB3">
            <wp:extent cx="5037835" cy="29324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rotWithShape="1">
                    <a:blip r:embed="rId41">
                      <a:extLst>
                        <a:ext uri="{28A0092B-C50C-407E-A947-70E740481C1C}">
                          <a14:useLocalDpi xmlns:a14="http://schemas.microsoft.com/office/drawing/2010/main" val="0"/>
                        </a:ext>
                      </a:extLst>
                    </a:blip>
                    <a:srcRect l="6207"/>
                    <a:stretch/>
                  </pic:blipFill>
                  <pic:spPr bwMode="auto">
                    <a:xfrm>
                      <a:off x="0" y="0"/>
                      <a:ext cx="5038074" cy="2932569"/>
                    </a:xfrm>
                    <a:prstGeom prst="rect">
                      <a:avLst/>
                    </a:prstGeom>
                    <a:noFill/>
                    <a:ln>
                      <a:noFill/>
                    </a:ln>
                    <a:extLst>
                      <a:ext uri="{53640926-AAD7-44D8-BBD7-CCE9431645EC}">
                        <a14:shadowObscured xmlns:a14="http://schemas.microsoft.com/office/drawing/2010/main"/>
                      </a:ext>
                    </a:extLst>
                  </pic:spPr>
                </pic:pic>
              </a:graphicData>
            </a:graphic>
          </wp:inline>
        </w:drawing>
      </w:r>
    </w:p>
    <w:p w14:paraId="47115C98" w14:textId="77777777" w:rsidR="003F3B0B" w:rsidRPr="003F3B0B" w:rsidRDefault="003F3B0B" w:rsidP="003F3B0B">
      <w:pPr>
        <w:pStyle w:val="Caption"/>
      </w:pPr>
      <w:proofErr w:type="gramStart"/>
      <w:r w:rsidRPr="003F3B0B">
        <w:t xml:space="preserve">Figure </w:t>
      </w:r>
      <w:r w:rsidRPr="003F3B0B">
        <w:fldChar w:fldCharType="begin"/>
      </w:r>
      <w:r w:rsidRPr="003F3B0B">
        <w:instrText xml:space="preserve"> SEQ Figure \* ARABIC </w:instrText>
      </w:r>
      <w:r w:rsidRPr="003F3B0B">
        <w:fldChar w:fldCharType="separate"/>
      </w:r>
      <w:r w:rsidRPr="003F3B0B">
        <w:rPr>
          <w:noProof/>
        </w:rPr>
        <w:t>14</w:t>
      </w:r>
      <w:r w:rsidRPr="003F3B0B">
        <w:rPr>
          <w:noProof/>
        </w:rPr>
        <w:fldChar w:fldCharType="end"/>
      </w:r>
      <w:r w:rsidRPr="003F3B0B">
        <w:t>.</w:t>
      </w:r>
      <w:proofErr w:type="gramEnd"/>
      <w:r w:rsidRPr="003F3B0B">
        <w:t xml:space="preserve"> </w:t>
      </w:r>
      <w:proofErr w:type="gramStart"/>
      <w:r w:rsidRPr="003F3B0B">
        <w:t>RCFM for predicted n</w:t>
      </w:r>
      <w:r w:rsidRPr="003F3B0B">
        <w:rPr>
          <w:noProof/>
        </w:rPr>
        <w:t>umber</w:t>
      </w:r>
      <w:r w:rsidRPr="003F3B0B">
        <w:t xml:space="preserve"> of cycles to failure for dynamic curvature range for all three risers.</w:t>
      </w:r>
      <w:proofErr w:type="gramEnd"/>
    </w:p>
    <w:p w14:paraId="001A0485" w14:textId="77777777" w:rsidR="003F3B0B" w:rsidRPr="003F3B0B" w:rsidRDefault="003F3B0B" w:rsidP="003F3B0B"/>
    <w:p w14:paraId="012C18DE" w14:textId="77777777" w:rsidR="003F3B0B" w:rsidRPr="003F3B0B" w:rsidRDefault="003F3B0B" w:rsidP="003F3B0B">
      <w:pPr>
        <w:pStyle w:val="Quote"/>
        <w:rPr>
          <w:color w:val="auto"/>
        </w:rPr>
      </w:pPr>
      <w:r w:rsidRPr="003F3B0B">
        <w:rPr>
          <w:noProof/>
          <w:color w:val="auto"/>
          <w:lang w:eastAsia="en-IE"/>
        </w:rPr>
        <w:drawing>
          <wp:inline distT="0" distB="0" distL="0" distR="0" wp14:anchorId="244D6636" wp14:editId="4856EFA5">
            <wp:extent cx="2774930" cy="1883391"/>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8748"/>
                    <a:stretch/>
                  </pic:blipFill>
                  <pic:spPr bwMode="auto">
                    <a:xfrm>
                      <a:off x="0" y="0"/>
                      <a:ext cx="2782359" cy="1888433"/>
                    </a:xfrm>
                    <a:prstGeom prst="rect">
                      <a:avLst/>
                    </a:prstGeom>
                    <a:noFill/>
                    <a:ln>
                      <a:noFill/>
                    </a:ln>
                    <a:extLst>
                      <a:ext uri="{53640926-AAD7-44D8-BBD7-CCE9431645EC}">
                        <a14:shadowObscured xmlns:a14="http://schemas.microsoft.com/office/drawing/2010/main"/>
                      </a:ext>
                    </a:extLst>
                  </pic:spPr>
                </pic:pic>
              </a:graphicData>
            </a:graphic>
          </wp:inline>
        </w:drawing>
      </w:r>
      <w:r w:rsidRPr="003F3B0B">
        <w:rPr>
          <w:noProof/>
          <w:color w:val="auto"/>
          <w:lang w:eastAsia="en-IE"/>
        </w:rPr>
        <w:drawing>
          <wp:inline distT="0" distB="0" distL="0" distR="0" wp14:anchorId="4A347877" wp14:editId="59FE39CE">
            <wp:extent cx="2700118" cy="1930393"/>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7330"/>
                    <a:stretch/>
                  </pic:blipFill>
                  <pic:spPr bwMode="auto">
                    <a:xfrm>
                      <a:off x="0" y="0"/>
                      <a:ext cx="2698931" cy="1929544"/>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3F3B0B" w:rsidRPr="003F3B0B" w14:paraId="50C18191" w14:textId="77777777" w:rsidTr="007B70DB">
        <w:tc>
          <w:tcPr>
            <w:tcW w:w="4621" w:type="dxa"/>
          </w:tcPr>
          <w:p w14:paraId="13C2B91F" w14:textId="77777777" w:rsidR="003F3B0B" w:rsidRPr="003F3B0B" w:rsidRDefault="003F3B0B" w:rsidP="007B70DB">
            <w:pPr>
              <w:jc w:val="center"/>
            </w:pPr>
            <w:r w:rsidRPr="003F3B0B">
              <w:t>(a)</w:t>
            </w:r>
          </w:p>
        </w:tc>
        <w:tc>
          <w:tcPr>
            <w:tcW w:w="4621" w:type="dxa"/>
          </w:tcPr>
          <w:p w14:paraId="30448C27" w14:textId="77777777" w:rsidR="003F3B0B" w:rsidRPr="003F3B0B" w:rsidRDefault="003F3B0B" w:rsidP="007B70DB">
            <w:pPr>
              <w:jc w:val="center"/>
            </w:pPr>
            <w:r w:rsidRPr="003F3B0B">
              <w:t>(b)</w:t>
            </w:r>
          </w:p>
        </w:tc>
      </w:tr>
    </w:tbl>
    <w:p w14:paraId="2A9489DE" w14:textId="77777777" w:rsidR="003F3B0B" w:rsidRPr="003F3B0B" w:rsidRDefault="003F3B0B" w:rsidP="003F3B0B">
      <w:pPr>
        <w:pStyle w:val="Caption"/>
      </w:pPr>
      <w:proofErr w:type="gramStart"/>
      <w:r w:rsidRPr="003F3B0B">
        <w:t xml:space="preserve">Figure </w:t>
      </w:r>
      <w:r w:rsidRPr="003F3B0B">
        <w:fldChar w:fldCharType="begin"/>
      </w:r>
      <w:r w:rsidRPr="003F3B0B">
        <w:instrText xml:space="preserve"> SEQ Figure \* ARABIC </w:instrText>
      </w:r>
      <w:r w:rsidRPr="003F3B0B">
        <w:fldChar w:fldCharType="separate"/>
      </w:r>
      <w:r w:rsidRPr="003F3B0B">
        <w:rPr>
          <w:noProof/>
        </w:rPr>
        <w:t>15</w:t>
      </w:r>
      <w:r w:rsidRPr="003F3B0B">
        <w:rPr>
          <w:noProof/>
        </w:rPr>
        <w:fldChar w:fldCharType="end"/>
      </w:r>
      <w:r w:rsidRPr="003F3B0B">
        <w:t>.</w:t>
      </w:r>
      <w:proofErr w:type="gramEnd"/>
      <w:r w:rsidRPr="003F3B0B">
        <w:t xml:space="preserve"> Predicted numbers of cycles to (a) to crack initiation and (b) failure for all load cases and all three risers.</w:t>
      </w:r>
    </w:p>
    <w:p w14:paraId="1F79DC99" w14:textId="77777777" w:rsidR="003F3B0B" w:rsidRPr="003F3B0B" w:rsidRDefault="003F3B0B" w:rsidP="003F3B0B">
      <w:pPr>
        <w:spacing w:line="259" w:lineRule="auto"/>
        <w:jc w:val="left"/>
        <w:rPr>
          <w:rFonts w:cs="Times New Roman"/>
          <w:b/>
          <w:sz w:val="28"/>
          <w:szCs w:val="28"/>
        </w:rPr>
      </w:pPr>
      <w:r w:rsidRPr="003F3B0B">
        <w:rPr>
          <w:rFonts w:cs="Times New Roman"/>
          <w:b/>
          <w:sz w:val="28"/>
          <w:szCs w:val="28"/>
        </w:rPr>
        <w:br w:type="page"/>
      </w:r>
    </w:p>
    <w:p w14:paraId="036A8768" w14:textId="77777777" w:rsidR="003F3B0B" w:rsidRPr="003F3B0B" w:rsidRDefault="003F3B0B" w:rsidP="003F3B0B">
      <w:bookmarkStart w:id="44" w:name="_GoBack"/>
      <w:bookmarkEnd w:id="44"/>
    </w:p>
    <w:p w14:paraId="28D9426D" w14:textId="77777777" w:rsidR="003F3B0B" w:rsidRPr="003F3B0B" w:rsidRDefault="003F3B0B" w:rsidP="003F3B0B"/>
    <w:p w14:paraId="31D6186E" w14:textId="77777777" w:rsidR="003F3B0B" w:rsidRPr="003F3B0B" w:rsidRDefault="003F3B0B" w:rsidP="003F3B0B"/>
    <w:p w14:paraId="7D73FCB6" w14:textId="77777777" w:rsidR="003F3B0B" w:rsidRPr="003F3B0B" w:rsidRDefault="003F3B0B" w:rsidP="003F3B0B"/>
    <w:p w14:paraId="65B2E0A1" w14:textId="77777777" w:rsidR="003F3B0B" w:rsidRPr="003F3B0B" w:rsidRDefault="003F3B0B" w:rsidP="003F3B0B">
      <w:pPr>
        <w:jc w:val="center"/>
        <w:rPr>
          <w:rFonts w:cs="Times New Roman"/>
          <w:b/>
          <w:sz w:val="28"/>
          <w:szCs w:val="28"/>
        </w:rPr>
      </w:pPr>
    </w:p>
    <w:p w14:paraId="788B58CF" w14:textId="77777777" w:rsidR="003F3B0B" w:rsidRPr="003F3B0B" w:rsidRDefault="003F3B0B" w:rsidP="006058DF">
      <w:pPr>
        <w:jc w:val="center"/>
        <w:rPr>
          <w:rFonts w:cs="Times New Roman"/>
          <w:b/>
          <w:sz w:val="28"/>
          <w:szCs w:val="28"/>
        </w:rPr>
      </w:pPr>
    </w:p>
    <w:p w14:paraId="536F5DE8" w14:textId="77777777" w:rsidR="003F3B0B" w:rsidRPr="003F3B0B" w:rsidRDefault="003F3B0B" w:rsidP="006058DF">
      <w:pPr>
        <w:jc w:val="center"/>
        <w:rPr>
          <w:rFonts w:cs="Times New Roman"/>
          <w:b/>
          <w:sz w:val="28"/>
          <w:szCs w:val="28"/>
        </w:rPr>
      </w:pPr>
    </w:p>
    <w:sectPr w:rsidR="003F3B0B" w:rsidRPr="003F3B0B">
      <w:footerReference w:type="defaul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16B824" w14:textId="77777777" w:rsidR="007C3A67" w:rsidRDefault="007C3A67" w:rsidP="000235B9">
      <w:pPr>
        <w:spacing w:after="0" w:line="240" w:lineRule="auto"/>
      </w:pPr>
      <w:r>
        <w:separator/>
      </w:r>
    </w:p>
  </w:endnote>
  <w:endnote w:type="continuationSeparator" w:id="0">
    <w:p w14:paraId="0179329D" w14:textId="77777777" w:rsidR="007C3A67" w:rsidRDefault="007C3A67" w:rsidP="000235B9">
      <w:pPr>
        <w:spacing w:after="0" w:line="240" w:lineRule="auto"/>
      </w:pPr>
      <w:r>
        <w:continuationSeparator/>
      </w:r>
    </w:p>
  </w:endnote>
  <w:endnote w:type="continuationNotice" w:id="1">
    <w:p w14:paraId="480EC63A" w14:textId="77777777" w:rsidR="007C3A67" w:rsidRDefault="007C3A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2915950"/>
      <w:docPartObj>
        <w:docPartGallery w:val="Page Numbers (Bottom of Page)"/>
        <w:docPartUnique/>
      </w:docPartObj>
    </w:sdtPr>
    <w:sdtEndPr>
      <w:rPr>
        <w:noProof/>
      </w:rPr>
    </w:sdtEndPr>
    <w:sdtContent>
      <w:p w14:paraId="6DA69580" w14:textId="77777777" w:rsidR="00A76C82" w:rsidRDefault="00A76C82">
        <w:pPr>
          <w:pStyle w:val="Footer"/>
          <w:jc w:val="right"/>
        </w:pPr>
        <w:r>
          <w:fldChar w:fldCharType="begin"/>
        </w:r>
        <w:r>
          <w:instrText xml:space="preserve"> PAGE   \* MERGEFORMAT </w:instrText>
        </w:r>
        <w:r>
          <w:fldChar w:fldCharType="separate"/>
        </w:r>
        <w:r w:rsidR="003F3B0B">
          <w:rPr>
            <w:noProof/>
          </w:rPr>
          <w:t>42</w:t>
        </w:r>
        <w:r>
          <w:rPr>
            <w:noProof/>
          </w:rPr>
          <w:fldChar w:fldCharType="end"/>
        </w:r>
      </w:p>
    </w:sdtContent>
  </w:sdt>
  <w:p w14:paraId="2AC237A7" w14:textId="77777777" w:rsidR="00A76C82" w:rsidRDefault="00A76C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E6E05D" w14:textId="77777777" w:rsidR="007C3A67" w:rsidRDefault="007C3A67" w:rsidP="000235B9">
      <w:pPr>
        <w:spacing w:after="0" w:line="240" w:lineRule="auto"/>
      </w:pPr>
      <w:r>
        <w:separator/>
      </w:r>
    </w:p>
  </w:footnote>
  <w:footnote w:type="continuationSeparator" w:id="0">
    <w:p w14:paraId="2F13A885" w14:textId="77777777" w:rsidR="007C3A67" w:rsidRDefault="007C3A67" w:rsidP="000235B9">
      <w:pPr>
        <w:spacing w:after="0" w:line="240" w:lineRule="auto"/>
      </w:pPr>
      <w:r>
        <w:continuationSeparator/>
      </w:r>
    </w:p>
  </w:footnote>
  <w:footnote w:type="continuationNotice" w:id="1">
    <w:p w14:paraId="25C918B4" w14:textId="77777777" w:rsidR="007C3A67" w:rsidRDefault="007C3A67">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92854"/>
    <w:multiLevelType w:val="hybridMultilevel"/>
    <w:tmpl w:val="AFA83BB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
    <w:nsid w:val="06360578"/>
    <w:multiLevelType w:val="multilevel"/>
    <w:tmpl w:val="18090025"/>
    <w:lvl w:ilvl="0">
      <w:start w:val="1"/>
      <w:numFmt w:val="decimal"/>
      <w:pStyle w:val="Heading1"/>
      <w:lvlText w:val="%1"/>
      <w:lvlJc w:val="left"/>
      <w:pPr>
        <w:ind w:left="432" w:hanging="432"/>
      </w:pPr>
      <w:rPr>
        <w:rFonts w:hint="default"/>
        <w:b/>
        <w:sz w:val="28"/>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nsid w:val="0DB20583"/>
    <w:multiLevelType w:val="hybridMultilevel"/>
    <w:tmpl w:val="4BC4354E"/>
    <w:lvl w:ilvl="0" w:tplc="D14AA71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26C33A8C"/>
    <w:multiLevelType w:val="hybridMultilevel"/>
    <w:tmpl w:val="8CA879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rte, Annette">
    <w15:presenceInfo w15:providerId="AD" w15:userId="S::0003058S@nuigalway.ie::58ae850b-1c2a-4de7-9cdd-02eb8f881cc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oNotDisplayPageBoundarie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LC0tDA0NTYzMjM2tzBQ0lEKTi0uzszPAykwMqgFAO8EeuItAAAA"/>
  </w:docVars>
  <w:rsids>
    <w:rsidRoot w:val="007C2028"/>
    <w:rsid w:val="0000336E"/>
    <w:rsid w:val="0001718E"/>
    <w:rsid w:val="00020CF5"/>
    <w:rsid w:val="000235B9"/>
    <w:rsid w:val="00042B26"/>
    <w:rsid w:val="00057CEC"/>
    <w:rsid w:val="0006422F"/>
    <w:rsid w:val="00066129"/>
    <w:rsid w:val="00067571"/>
    <w:rsid w:val="00091E6F"/>
    <w:rsid w:val="00096C47"/>
    <w:rsid w:val="00097B93"/>
    <w:rsid w:val="00097C8E"/>
    <w:rsid w:val="000A5E4E"/>
    <w:rsid w:val="000A791A"/>
    <w:rsid w:val="000B11A2"/>
    <w:rsid w:val="000B6AFC"/>
    <w:rsid w:val="000C09DB"/>
    <w:rsid w:val="000C2EBC"/>
    <w:rsid w:val="000C4BCD"/>
    <w:rsid w:val="000C79DD"/>
    <w:rsid w:val="000D3D4C"/>
    <w:rsid w:val="000E08B8"/>
    <w:rsid w:val="000E4D58"/>
    <w:rsid w:val="000F02FC"/>
    <w:rsid w:val="000F1845"/>
    <w:rsid w:val="000F5E2F"/>
    <w:rsid w:val="00103782"/>
    <w:rsid w:val="00111B8E"/>
    <w:rsid w:val="00117240"/>
    <w:rsid w:val="001241F0"/>
    <w:rsid w:val="001258C2"/>
    <w:rsid w:val="00133FFA"/>
    <w:rsid w:val="00142FA4"/>
    <w:rsid w:val="00177BA0"/>
    <w:rsid w:val="00184B16"/>
    <w:rsid w:val="001A17EB"/>
    <w:rsid w:val="001A50E8"/>
    <w:rsid w:val="001C139A"/>
    <w:rsid w:val="001D5413"/>
    <w:rsid w:val="001E3AEF"/>
    <w:rsid w:val="001F512F"/>
    <w:rsid w:val="001F6966"/>
    <w:rsid w:val="0023432E"/>
    <w:rsid w:val="00234DFF"/>
    <w:rsid w:val="002470B8"/>
    <w:rsid w:val="00254739"/>
    <w:rsid w:val="00257001"/>
    <w:rsid w:val="002762E7"/>
    <w:rsid w:val="00281A9B"/>
    <w:rsid w:val="00284375"/>
    <w:rsid w:val="00295086"/>
    <w:rsid w:val="002954DC"/>
    <w:rsid w:val="002A5E8E"/>
    <w:rsid w:val="002B0676"/>
    <w:rsid w:val="002B2C3E"/>
    <w:rsid w:val="002B786A"/>
    <w:rsid w:val="002C618C"/>
    <w:rsid w:val="002E237F"/>
    <w:rsid w:val="002F5146"/>
    <w:rsid w:val="002F7743"/>
    <w:rsid w:val="00315333"/>
    <w:rsid w:val="00320088"/>
    <w:rsid w:val="00320DAF"/>
    <w:rsid w:val="00327B40"/>
    <w:rsid w:val="003302CC"/>
    <w:rsid w:val="00340718"/>
    <w:rsid w:val="00340997"/>
    <w:rsid w:val="0034410F"/>
    <w:rsid w:val="003510ED"/>
    <w:rsid w:val="00352248"/>
    <w:rsid w:val="00352AF8"/>
    <w:rsid w:val="003837D5"/>
    <w:rsid w:val="00393297"/>
    <w:rsid w:val="003A5FCE"/>
    <w:rsid w:val="003C0CA4"/>
    <w:rsid w:val="003C7CB6"/>
    <w:rsid w:val="003D1AA2"/>
    <w:rsid w:val="003D3FD0"/>
    <w:rsid w:val="003D4384"/>
    <w:rsid w:val="003E54B9"/>
    <w:rsid w:val="003F3B0B"/>
    <w:rsid w:val="003F7627"/>
    <w:rsid w:val="004003D3"/>
    <w:rsid w:val="004046E6"/>
    <w:rsid w:val="004103C1"/>
    <w:rsid w:val="00410759"/>
    <w:rsid w:val="004115DA"/>
    <w:rsid w:val="00440032"/>
    <w:rsid w:val="00456617"/>
    <w:rsid w:val="004628F3"/>
    <w:rsid w:val="00465E4A"/>
    <w:rsid w:val="00470490"/>
    <w:rsid w:val="0047069F"/>
    <w:rsid w:val="004746D3"/>
    <w:rsid w:val="004A0FF8"/>
    <w:rsid w:val="004A31A7"/>
    <w:rsid w:val="004B6352"/>
    <w:rsid w:val="004B6886"/>
    <w:rsid w:val="004C1621"/>
    <w:rsid w:val="004C6D2D"/>
    <w:rsid w:val="004C76FB"/>
    <w:rsid w:val="004D1845"/>
    <w:rsid w:val="004D2844"/>
    <w:rsid w:val="004D2DB9"/>
    <w:rsid w:val="004D699B"/>
    <w:rsid w:val="004E084D"/>
    <w:rsid w:val="004E0C16"/>
    <w:rsid w:val="004E3075"/>
    <w:rsid w:val="004E6BEB"/>
    <w:rsid w:val="004E760B"/>
    <w:rsid w:val="00503D73"/>
    <w:rsid w:val="00525E54"/>
    <w:rsid w:val="005328FA"/>
    <w:rsid w:val="00547D84"/>
    <w:rsid w:val="005507CE"/>
    <w:rsid w:val="00550968"/>
    <w:rsid w:val="0055639C"/>
    <w:rsid w:val="005621FB"/>
    <w:rsid w:val="00570A70"/>
    <w:rsid w:val="00587A2D"/>
    <w:rsid w:val="00591927"/>
    <w:rsid w:val="0059443F"/>
    <w:rsid w:val="005B3456"/>
    <w:rsid w:val="005B6580"/>
    <w:rsid w:val="005C6B05"/>
    <w:rsid w:val="005E0612"/>
    <w:rsid w:val="005F135B"/>
    <w:rsid w:val="005F3E37"/>
    <w:rsid w:val="00601F91"/>
    <w:rsid w:val="006058DF"/>
    <w:rsid w:val="00606BE8"/>
    <w:rsid w:val="006122A0"/>
    <w:rsid w:val="00623934"/>
    <w:rsid w:val="0063122D"/>
    <w:rsid w:val="006354FF"/>
    <w:rsid w:val="00646484"/>
    <w:rsid w:val="00654D4B"/>
    <w:rsid w:val="00656B5A"/>
    <w:rsid w:val="00663A28"/>
    <w:rsid w:val="00693DAC"/>
    <w:rsid w:val="006A6C78"/>
    <w:rsid w:val="006B01CE"/>
    <w:rsid w:val="006B12E6"/>
    <w:rsid w:val="006B7AB9"/>
    <w:rsid w:val="006D2490"/>
    <w:rsid w:val="006D2DF2"/>
    <w:rsid w:val="006D572E"/>
    <w:rsid w:val="00705553"/>
    <w:rsid w:val="007070BC"/>
    <w:rsid w:val="00723C3C"/>
    <w:rsid w:val="0072653B"/>
    <w:rsid w:val="00732416"/>
    <w:rsid w:val="00732B08"/>
    <w:rsid w:val="007561D8"/>
    <w:rsid w:val="00762B4E"/>
    <w:rsid w:val="00762F59"/>
    <w:rsid w:val="00773FBA"/>
    <w:rsid w:val="007776B9"/>
    <w:rsid w:val="00793B58"/>
    <w:rsid w:val="007A1833"/>
    <w:rsid w:val="007A332C"/>
    <w:rsid w:val="007C2028"/>
    <w:rsid w:val="007C3A67"/>
    <w:rsid w:val="007D082D"/>
    <w:rsid w:val="007D6F46"/>
    <w:rsid w:val="007E7D57"/>
    <w:rsid w:val="007F066B"/>
    <w:rsid w:val="007F715F"/>
    <w:rsid w:val="00801459"/>
    <w:rsid w:val="00806B39"/>
    <w:rsid w:val="008345D8"/>
    <w:rsid w:val="00836D1D"/>
    <w:rsid w:val="00842BB4"/>
    <w:rsid w:val="008455C3"/>
    <w:rsid w:val="008516EC"/>
    <w:rsid w:val="00857C5B"/>
    <w:rsid w:val="0086590F"/>
    <w:rsid w:val="008724BE"/>
    <w:rsid w:val="00883FD4"/>
    <w:rsid w:val="00893FE1"/>
    <w:rsid w:val="008A1F1D"/>
    <w:rsid w:val="008A4899"/>
    <w:rsid w:val="008A5E16"/>
    <w:rsid w:val="008C0FCD"/>
    <w:rsid w:val="008C51CF"/>
    <w:rsid w:val="008D034A"/>
    <w:rsid w:val="008D6396"/>
    <w:rsid w:val="008E043A"/>
    <w:rsid w:val="00915C60"/>
    <w:rsid w:val="009559D5"/>
    <w:rsid w:val="00961249"/>
    <w:rsid w:val="009734C5"/>
    <w:rsid w:val="00977BAA"/>
    <w:rsid w:val="009850CD"/>
    <w:rsid w:val="00987CCF"/>
    <w:rsid w:val="00991C51"/>
    <w:rsid w:val="00996563"/>
    <w:rsid w:val="009C264C"/>
    <w:rsid w:val="009C279E"/>
    <w:rsid w:val="009C2D74"/>
    <w:rsid w:val="009C3ABD"/>
    <w:rsid w:val="009E4E7E"/>
    <w:rsid w:val="009E7D70"/>
    <w:rsid w:val="00A00E71"/>
    <w:rsid w:val="00A02344"/>
    <w:rsid w:val="00A07759"/>
    <w:rsid w:val="00A103DB"/>
    <w:rsid w:val="00A13985"/>
    <w:rsid w:val="00A22A66"/>
    <w:rsid w:val="00A23CE1"/>
    <w:rsid w:val="00A26A82"/>
    <w:rsid w:val="00A31B96"/>
    <w:rsid w:val="00A52349"/>
    <w:rsid w:val="00A76C82"/>
    <w:rsid w:val="00A8032E"/>
    <w:rsid w:val="00A80B05"/>
    <w:rsid w:val="00A8214D"/>
    <w:rsid w:val="00A83502"/>
    <w:rsid w:val="00A97C6D"/>
    <w:rsid w:val="00AA2600"/>
    <w:rsid w:val="00AA48C7"/>
    <w:rsid w:val="00AA6047"/>
    <w:rsid w:val="00AC4E1E"/>
    <w:rsid w:val="00AE3B0E"/>
    <w:rsid w:val="00AE69E1"/>
    <w:rsid w:val="00B11C64"/>
    <w:rsid w:val="00B21316"/>
    <w:rsid w:val="00B22B46"/>
    <w:rsid w:val="00B3306F"/>
    <w:rsid w:val="00B412B1"/>
    <w:rsid w:val="00B44C2E"/>
    <w:rsid w:val="00B51D5E"/>
    <w:rsid w:val="00B566FA"/>
    <w:rsid w:val="00B80042"/>
    <w:rsid w:val="00B87933"/>
    <w:rsid w:val="00B956C5"/>
    <w:rsid w:val="00B95837"/>
    <w:rsid w:val="00BB6F04"/>
    <w:rsid w:val="00BD7F95"/>
    <w:rsid w:val="00BF188A"/>
    <w:rsid w:val="00C00F0A"/>
    <w:rsid w:val="00C141C9"/>
    <w:rsid w:val="00C21F6F"/>
    <w:rsid w:val="00C22B0E"/>
    <w:rsid w:val="00C36709"/>
    <w:rsid w:val="00C436C6"/>
    <w:rsid w:val="00C459EF"/>
    <w:rsid w:val="00C47C78"/>
    <w:rsid w:val="00C624B7"/>
    <w:rsid w:val="00C63145"/>
    <w:rsid w:val="00C633D0"/>
    <w:rsid w:val="00C76A7A"/>
    <w:rsid w:val="00C8633A"/>
    <w:rsid w:val="00C90D96"/>
    <w:rsid w:val="00C91464"/>
    <w:rsid w:val="00CA40E8"/>
    <w:rsid w:val="00D03C28"/>
    <w:rsid w:val="00D0783A"/>
    <w:rsid w:val="00D140D5"/>
    <w:rsid w:val="00D1438F"/>
    <w:rsid w:val="00D16D43"/>
    <w:rsid w:val="00D218F3"/>
    <w:rsid w:val="00D237A1"/>
    <w:rsid w:val="00D23E6E"/>
    <w:rsid w:val="00D27160"/>
    <w:rsid w:val="00D521B7"/>
    <w:rsid w:val="00D542DF"/>
    <w:rsid w:val="00D74432"/>
    <w:rsid w:val="00D903F3"/>
    <w:rsid w:val="00D92FD4"/>
    <w:rsid w:val="00D93898"/>
    <w:rsid w:val="00D93D30"/>
    <w:rsid w:val="00D97A7A"/>
    <w:rsid w:val="00DA79AD"/>
    <w:rsid w:val="00DB4C97"/>
    <w:rsid w:val="00DC5BFC"/>
    <w:rsid w:val="00DE6E4B"/>
    <w:rsid w:val="00DF0389"/>
    <w:rsid w:val="00E00BCA"/>
    <w:rsid w:val="00E06F84"/>
    <w:rsid w:val="00E247A0"/>
    <w:rsid w:val="00E312DA"/>
    <w:rsid w:val="00E42FD2"/>
    <w:rsid w:val="00E431E9"/>
    <w:rsid w:val="00E45542"/>
    <w:rsid w:val="00E460B0"/>
    <w:rsid w:val="00E47868"/>
    <w:rsid w:val="00E57B0F"/>
    <w:rsid w:val="00E70C83"/>
    <w:rsid w:val="00E74443"/>
    <w:rsid w:val="00E83BB5"/>
    <w:rsid w:val="00E94F58"/>
    <w:rsid w:val="00EA19BB"/>
    <w:rsid w:val="00EA56F6"/>
    <w:rsid w:val="00EB56D3"/>
    <w:rsid w:val="00EC45E8"/>
    <w:rsid w:val="00ED2BCF"/>
    <w:rsid w:val="00EE32E0"/>
    <w:rsid w:val="00EE438C"/>
    <w:rsid w:val="00EF5D3F"/>
    <w:rsid w:val="00F045A0"/>
    <w:rsid w:val="00F07FCD"/>
    <w:rsid w:val="00F111EB"/>
    <w:rsid w:val="00F13C51"/>
    <w:rsid w:val="00F21CB7"/>
    <w:rsid w:val="00F361E2"/>
    <w:rsid w:val="00F43DF2"/>
    <w:rsid w:val="00F52AC2"/>
    <w:rsid w:val="00F640C1"/>
    <w:rsid w:val="00F64F50"/>
    <w:rsid w:val="00F76B58"/>
    <w:rsid w:val="00F816E5"/>
    <w:rsid w:val="00F975B6"/>
    <w:rsid w:val="00FC2C86"/>
    <w:rsid w:val="00FC747C"/>
    <w:rsid w:val="00FE1BB7"/>
    <w:rsid w:val="00FE1E2D"/>
    <w:rsid w:val="00FF596F"/>
    <w:rsid w:val="00FF68D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7EE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2028"/>
    <w:pPr>
      <w:spacing w:line="480" w:lineRule="auto"/>
      <w:jc w:val="both"/>
    </w:pPr>
    <w:rPr>
      <w:rFonts w:ascii="Times New Roman" w:hAnsi="Times New Roman"/>
      <w:sz w:val="24"/>
    </w:rPr>
  </w:style>
  <w:style w:type="paragraph" w:styleId="Heading1">
    <w:name w:val="heading 1"/>
    <w:basedOn w:val="Normal"/>
    <w:next w:val="Normal"/>
    <w:link w:val="Heading1Char"/>
    <w:uiPriority w:val="9"/>
    <w:qFormat/>
    <w:rsid w:val="007C2028"/>
    <w:pPr>
      <w:keepNext/>
      <w:keepLines/>
      <w:numPr>
        <w:numId w:val="1"/>
      </w:numPr>
      <w:spacing w:before="240" w:after="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7C2028"/>
    <w:pPr>
      <w:numPr>
        <w:ilvl w:val="1"/>
        <w:numId w:val="1"/>
      </w:numPr>
      <w:outlineLvl w:val="1"/>
    </w:pPr>
    <w:rPr>
      <w:b/>
    </w:rPr>
  </w:style>
  <w:style w:type="paragraph" w:styleId="Heading3">
    <w:name w:val="heading 3"/>
    <w:basedOn w:val="Normal"/>
    <w:next w:val="Normal"/>
    <w:link w:val="Heading3Char"/>
    <w:uiPriority w:val="9"/>
    <w:semiHidden/>
    <w:unhideWhenUsed/>
    <w:qFormat/>
    <w:rsid w:val="007C2028"/>
    <w:pPr>
      <w:keepNext/>
      <w:keepLines/>
      <w:numPr>
        <w:ilvl w:val="2"/>
        <w:numId w:val="1"/>
      </w:numPr>
      <w:spacing w:before="40" w:after="0"/>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semiHidden/>
    <w:unhideWhenUsed/>
    <w:qFormat/>
    <w:rsid w:val="007C2028"/>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C2028"/>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C2028"/>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C2028"/>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C2028"/>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C2028"/>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2028"/>
    <w:rPr>
      <w:color w:val="0563C1" w:themeColor="hyperlink"/>
      <w:u w:val="single"/>
    </w:rPr>
  </w:style>
  <w:style w:type="character" w:customStyle="1" w:styleId="UnresolvedMention1">
    <w:name w:val="Unresolved Mention1"/>
    <w:basedOn w:val="DefaultParagraphFont"/>
    <w:uiPriority w:val="99"/>
    <w:semiHidden/>
    <w:unhideWhenUsed/>
    <w:rsid w:val="007C2028"/>
    <w:rPr>
      <w:color w:val="808080"/>
      <w:shd w:val="clear" w:color="auto" w:fill="E6E6E6"/>
    </w:rPr>
  </w:style>
  <w:style w:type="character" w:customStyle="1" w:styleId="Heading1Char">
    <w:name w:val="Heading 1 Char"/>
    <w:basedOn w:val="DefaultParagraphFont"/>
    <w:link w:val="Heading1"/>
    <w:uiPriority w:val="9"/>
    <w:rsid w:val="007C2028"/>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7C2028"/>
    <w:rPr>
      <w:rFonts w:ascii="Times New Roman" w:hAnsi="Times New Roman"/>
      <w:b/>
      <w:sz w:val="24"/>
    </w:rPr>
  </w:style>
  <w:style w:type="character" w:customStyle="1" w:styleId="Heading3Char">
    <w:name w:val="Heading 3 Char"/>
    <w:basedOn w:val="DefaultParagraphFont"/>
    <w:link w:val="Heading3"/>
    <w:uiPriority w:val="9"/>
    <w:semiHidden/>
    <w:rsid w:val="007C2028"/>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semiHidden/>
    <w:rsid w:val="007C2028"/>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7C2028"/>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7C2028"/>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7C2028"/>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7C202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C2028"/>
    <w:rPr>
      <w:rFonts w:asciiTheme="majorHAnsi" w:eastAsiaTheme="majorEastAsia" w:hAnsiTheme="majorHAnsi" w:cstheme="majorBidi"/>
      <w:i/>
      <w:iCs/>
      <w:color w:val="272727" w:themeColor="text1" w:themeTint="D8"/>
      <w:sz w:val="21"/>
      <w:szCs w:val="21"/>
    </w:rPr>
  </w:style>
  <w:style w:type="paragraph" w:styleId="BodyText">
    <w:name w:val="Body Text"/>
    <w:basedOn w:val="Normal"/>
    <w:link w:val="BodyTextChar"/>
    <w:rsid w:val="007C2028"/>
    <w:pPr>
      <w:spacing w:after="0" w:line="360" w:lineRule="auto"/>
    </w:pPr>
    <w:rPr>
      <w:rFonts w:eastAsia="Times New Roman" w:cs="Times New Roman"/>
      <w:szCs w:val="24"/>
      <w:lang w:val="en-GB" w:eastAsia="x-none"/>
    </w:rPr>
  </w:style>
  <w:style w:type="character" w:customStyle="1" w:styleId="BodyTextChar">
    <w:name w:val="Body Text Char"/>
    <w:basedOn w:val="DefaultParagraphFont"/>
    <w:link w:val="BodyText"/>
    <w:rsid w:val="007C2028"/>
    <w:rPr>
      <w:rFonts w:ascii="Times New Roman" w:eastAsia="Times New Roman" w:hAnsi="Times New Roman" w:cs="Times New Roman"/>
      <w:sz w:val="24"/>
      <w:szCs w:val="24"/>
      <w:lang w:val="en-GB" w:eastAsia="x-none"/>
    </w:rPr>
  </w:style>
  <w:style w:type="paragraph" w:styleId="Header">
    <w:name w:val="header"/>
    <w:basedOn w:val="Normal"/>
    <w:link w:val="HeaderChar"/>
    <w:uiPriority w:val="99"/>
    <w:unhideWhenUsed/>
    <w:rsid w:val="000235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35B9"/>
    <w:rPr>
      <w:rFonts w:ascii="Times New Roman" w:hAnsi="Times New Roman"/>
      <w:sz w:val="24"/>
    </w:rPr>
  </w:style>
  <w:style w:type="paragraph" w:styleId="Footer">
    <w:name w:val="footer"/>
    <w:basedOn w:val="Normal"/>
    <w:link w:val="FooterChar"/>
    <w:uiPriority w:val="99"/>
    <w:unhideWhenUsed/>
    <w:rsid w:val="000235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35B9"/>
    <w:rPr>
      <w:rFonts w:ascii="Times New Roman" w:hAnsi="Times New Roman"/>
      <w:sz w:val="24"/>
    </w:rPr>
  </w:style>
  <w:style w:type="paragraph" w:styleId="BodyTextIndent">
    <w:name w:val="Body Text Indent"/>
    <w:basedOn w:val="Normal"/>
    <w:link w:val="BodyTextIndentChar"/>
    <w:rsid w:val="00B3306F"/>
    <w:pPr>
      <w:spacing w:after="120" w:line="240" w:lineRule="auto"/>
      <w:ind w:left="283"/>
      <w:jc w:val="left"/>
    </w:pPr>
    <w:rPr>
      <w:rFonts w:eastAsia="Times New Roman" w:cs="Times New Roman"/>
      <w:szCs w:val="24"/>
      <w:lang w:val="en-US"/>
    </w:rPr>
  </w:style>
  <w:style w:type="character" w:customStyle="1" w:styleId="BodyTextIndentChar">
    <w:name w:val="Body Text Indent Char"/>
    <w:basedOn w:val="DefaultParagraphFont"/>
    <w:link w:val="BodyTextIndent"/>
    <w:rsid w:val="00B3306F"/>
    <w:rPr>
      <w:rFonts w:ascii="Times New Roman" w:eastAsia="Times New Roman" w:hAnsi="Times New Roman" w:cs="Times New Roman"/>
      <w:sz w:val="24"/>
      <w:szCs w:val="24"/>
      <w:lang w:val="en-US"/>
    </w:rPr>
  </w:style>
  <w:style w:type="paragraph" w:styleId="Caption">
    <w:name w:val="caption"/>
    <w:basedOn w:val="Normal"/>
    <w:next w:val="Normal"/>
    <w:link w:val="CaptionChar"/>
    <w:uiPriority w:val="35"/>
    <w:unhideWhenUsed/>
    <w:qFormat/>
    <w:rsid w:val="00352AF8"/>
    <w:pPr>
      <w:spacing w:after="200" w:line="240" w:lineRule="auto"/>
      <w:jc w:val="center"/>
    </w:pPr>
    <w:rPr>
      <w:iCs/>
      <w:szCs w:val="18"/>
    </w:rPr>
  </w:style>
  <w:style w:type="paragraph" w:styleId="Quote">
    <w:name w:val="Quote"/>
    <w:basedOn w:val="Normal"/>
    <w:next w:val="Normal"/>
    <w:link w:val="QuoteChar"/>
    <w:uiPriority w:val="29"/>
    <w:qFormat/>
    <w:rsid w:val="00B44C2E"/>
    <w:pPr>
      <w:spacing w:after="0"/>
      <w:jc w:val="center"/>
    </w:pPr>
    <w:rPr>
      <w:iCs/>
      <w:color w:val="000000" w:themeColor="text1"/>
    </w:rPr>
  </w:style>
  <w:style w:type="character" w:customStyle="1" w:styleId="QuoteChar">
    <w:name w:val="Quote Char"/>
    <w:basedOn w:val="DefaultParagraphFont"/>
    <w:link w:val="Quote"/>
    <w:uiPriority w:val="29"/>
    <w:rsid w:val="00B44C2E"/>
    <w:rPr>
      <w:rFonts w:ascii="Times New Roman" w:hAnsi="Times New Roman"/>
      <w:iCs/>
      <w:color w:val="000000" w:themeColor="text1"/>
      <w:sz w:val="24"/>
    </w:rPr>
  </w:style>
  <w:style w:type="character" w:customStyle="1" w:styleId="CaptionChar">
    <w:name w:val="Caption Char"/>
    <w:basedOn w:val="DefaultParagraphFont"/>
    <w:link w:val="Caption"/>
    <w:uiPriority w:val="35"/>
    <w:rsid w:val="00B44C2E"/>
    <w:rPr>
      <w:rFonts w:ascii="Times New Roman" w:hAnsi="Times New Roman"/>
      <w:iCs/>
      <w:sz w:val="24"/>
      <w:szCs w:val="18"/>
    </w:rPr>
  </w:style>
  <w:style w:type="paragraph" w:styleId="BalloonText">
    <w:name w:val="Balloon Text"/>
    <w:basedOn w:val="Normal"/>
    <w:link w:val="BalloonTextChar"/>
    <w:uiPriority w:val="99"/>
    <w:semiHidden/>
    <w:unhideWhenUsed/>
    <w:rsid w:val="00B44C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4C2E"/>
    <w:rPr>
      <w:rFonts w:ascii="Tahoma" w:hAnsi="Tahoma" w:cs="Tahoma"/>
      <w:sz w:val="16"/>
      <w:szCs w:val="16"/>
    </w:rPr>
  </w:style>
  <w:style w:type="table" w:styleId="TableGrid">
    <w:name w:val="Table Grid"/>
    <w:basedOn w:val="TableNormal"/>
    <w:uiPriority w:val="59"/>
    <w:rsid w:val="00B44C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B44C2E"/>
    <w:pPr>
      <w:spacing w:after="240"/>
      <w:ind w:left="720" w:firstLine="720"/>
      <w:contextualSpacing/>
    </w:pPr>
  </w:style>
  <w:style w:type="character" w:styleId="CommentReference">
    <w:name w:val="annotation reference"/>
    <w:basedOn w:val="DefaultParagraphFont"/>
    <w:uiPriority w:val="99"/>
    <w:semiHidden/>
    <w:unhideWhenUsed/>
    <w:rsid w:val="00315333"/>
    <w:rPr>
      <w:sz w:val="16"/>
      <w:szCs w:val="16"/>
    </w:rPr>
  </w:style>
  <w:style w:type="paragraph" w:styleId="CommentText">
    <w:name w:val="annotation text"/>
    <w:basedOn w:val="Normal"/>
    <w:link w:val="CommentTextChar"/>
    <w:uiPriority w:val="99"/>
    <w:semiHidden/>
    <w:unhideWhenUsed/>
    <w:rsid w:val="00315333"/>
    <w:pPr>
      <w:spacing w:line="240" w:lineRule="auto"/>
    </w:pPr>
    <w:rPr>
      <w:sz w:val="20"/>
      <w:szCs w:val="20"/>
    </w:rPr>
  </w:style>
  <w:style w:type="character" w:customStyle="1" w:styleId="CommentTextChar">
    <w:name w:val="Comment Text Char"/>
    <w:basedOn w:val="DefaultParagraphFont"/>
    <w:link w:val="CommentText"/>
    <w:uiPriority w:val="99"/>
    <w:semiHidden/>
    <w:rsid w:val="00315333"/>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15333"/>
    <w:rPr>
      <w:b/>
      <w:bCs/>
    </w:rPr>
  </w:style>
  <w:style w:type="character" w:customStyle="1" w:styleId="CommentSubjectChar">
    <w:name w:val="Comment Subject Char"/>
    <w:basedOn w:val="CommentTextChar"/>
    <w:link w:val="CommentSubject"/>
    <w:uiPriority w:val="99"/>
    <w:semiHidden/>
    <w:rsid w:val="00315333"/>
    <w:rPr>
      <w:rFonts w:ascii="Times New Roman" w:hAnsi="Times New Roman"/>
      <w:b/>
      <w:bCs/>
      <w:sz w:val="20"/>
      <w:szCs w:val="20"/>
    </w:rPr>
  </w:style>
  <w:style w:type="character" w:customStyle="1" w:styleId="ListParagraphChar">
    <w:name w:val="List Paragraph Char"/>
    <w:basedOn w:val="DefaultParagraphFont"/>
    <w:link w:val="ListParagraph"/>
    <w:uiPriority w:val="34"/>
    <w:rsid w:val="003E54B9"/>
    <w:rPr>
      <w:rFonts w:ascii="Times New Roman" w:hAnsi="Times New Roman"/>
      <w:sz w:val="24"/>
    </w:rPr>
  </w:style>
  <w:style w:type="paragraph" w:customStyle="1" w:styleId="Equations">
    <w:name w:val="Equations"/>
    <w:basedOn w:val="NormalIndent"/>
    <w:link w:val="EquationsChar"/>
    <w:qFormat/>
    <w:rsid w:val="00E74443"/>
    <w:pPr>
      <w:suppressAutoHyphens/>
      <w:autoSpaceDE w:val="0"/>
      <w:spacing w:after="0"/>
      <w:ind w:left="0" w:firstLine="0"/>
      <w:jc w:val="right"/>
    </w:pPr>
    <w:rPr>
      <w:rFonts w:eastAsia="Times New Roman" w:cs="Times New Roman"/>
      <w:szCs w:val="20"/>
      <w:lang w:eastAsia="ar-SA"/>
    </w:rPr>
  </w:style>
  <w:style w:type="character" w:customStyle="1" w:styleId="EquationsChar">
    <w:name w:val="Equations Char"/>
    <w:basedOn w:val="DefaultParagraphFont"/>
    <w:link w:val="Equations"/>
    <w:rsid w:val="00E74443"/>
    <w:rPr>
      <w:rFonts w:ascii="Times New Roman" w:eastAsia="Times New Roman" w:hAnsi="Times New Roman" w:cs="Times New Roman"/>
      <w:sz w:val="24"/>
      <w:szCs w:val="20"/>
      <w:lang w:eastAsia="ar-SA"/>
    </w:rPr>
  </w:style>
  <w:style w:type="paragraph" w:styleId="NormalIndent">
    <w:name w:val="Normal Indent"/>
    <w:basedOn w:val="Normal"/>
    <w:link w:val="NormalIndentChar"/>
    <w:uiPriority w:val="99"/>
    <w:unhideWhenUsed/>
    <w:qFormat/>
    <w:rsid w:val="00E74443"/>
    <w:pPr>
      <w:spacing w:after="200"/>
      <w:ind w:left="720" w:firstLine="720"/>
    </w:pPr>
  </w:style>
  <w:style w:type="character" w:customStyle="1" w:styleId="NormalIndentChar">
    <w:name w:val="Normal Indent Char"/>
    <w:basedOn w:val="DefaultParagraphFont"/>
    <w:link w:val="NormalIndent"/>
    <w:uiPriority w:val="99"/>
    <w:rsid w:val="00E74443"/>
    <w:rPr>
      <w:rFonts w:ascii="Times New Roman" w:hAnsi="Times New Roman"/>
      <w:sz w:val="24"/>
    </w:rPr>
  </w:style>
  <w:style w:type="paragraph" w:styleId="Revision">
    <w:name w:val="Revision"/>
    <w:hidden/>
    <w:uiPriority w:val="99"/>
    <w:semiHidden/>
    <w:rsid w:val="00773FBA"/>
    <w:pPr>
      <w:spacing w:after="0" w:line="240" w:lineRule="auto"/>
    </w:pPr>
    <w:rPr>
      <w:rFonts w:ascii="Times New Roman" w:hAnsi="Times New Roman"/>
      <w:sz w:val="24"/>
    </w:rPr>
  </w:style>
  <w:style w:type="character" w:styleId="PlaceholderText">
    <w:name w:val="Placeholder Text"/>
    <w:basedOn w:val="DefaultParagraphFont"/>
    <w:uiPriority w:val="99"/>
    <w:semiHidden/>
    <w:rsid w:val="00B80042"/>
    <w:rPr>
      <w:color w:val="808080"/>
    </w:rPr>
  </w:style>
  <w:style w:type="character" w:customStyle="1" w:styleId="UnresolvedMention2">
    <w:name w:val="Unresolved Mention2"/>
    <w:basedOn w:val="DefaultParagraphFont"/>
    <w:uiPriority w:val="99"/>
    <w:semiHidden/>
    <w:unhideWhenUsed/>
    <w:rsid w:val="004E307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2028"/>
    <w:pPr>
      <w:spacing w:line="480" w:lineRule="auto"/>
      <w:jc w:val="both"/>
    </w:pPr>
    <w:rPr>
      <w:rFonts w:ascii="Times New Roman" w:hAnsi="Times New Roman"/>
      <w:sz w:val="24"/>
    </w:rPr>
  </w:style>
  <w:style w:type="paragraph" w:styleId="Heading1">
    <w:name w:val="heading 1"/>
    <w:basedOn w:val="Normal"/>
    <w:next w:val="Normal"/>
    <w:link w:val="Heading1Char"/>
    <w:uiPriority w:val="9"/>
    <w:qFormat/>
    <w:rsid w:val="007C2028"/>
    <w:pPr>
      <w:keepNext/>
      <w:keepLines/>
      <w:numPr>
        <w:numId w:val="1"/>
      </w:numPr>
      <w:spacing w:before="240" w:after="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7C2028"/>
    <w:pPr>
      <w:numPr>
        <w:ilvl w:val="1"/>
        <w:numId w:val="1"/>
      </w:numPr>
      <w:outlineLvl w:val="1"/>
    </w:pPr>
    <w:rPr>
      <w:b/>
    </w:rPr>
  </w:style>
  <w:style w:type="paragraph" w:styleId="Heading3">
    <w:name w:val="heading 3"/>
    <w:basedOn w:val="Normal"/>
    <w:next w:val="Normal"/>
    <w:link w:val="Heading3Char"/>
    <w:uiPriority w:val="9"/>
    <w:semiHidden/>
    <w:unhideWhenUsed/>
    <w:qFormat/>
    <w:rsid w:val="007C2028"/>
    <w:pPr>
      <w:keepNext/>
      <w:keepLines/>
      <w:numPr>
        <w:ilvl w:val="2"/>
        <w:numId w:val="1"/>
      </w:numPr>
      <w:spacing w:before="40" w:after="0"/>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semiHidden/>
    <w:unhideWhenUsed/>
    <w:qFormat/>
    <w:rsid w:val="007C2028"/>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C2028"/>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C2028"/>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C2028"/>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C2028"/>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C2028"/>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2028"/>
    <w:rPr>
      <w:color w:val="0563C1" w:themeColor="hyperlink"/>
      <w:u w:val="single"/>
    </w:rPr>
  </w:style>
  <w:style w:type="character" w:customStyle="1" w:styleId="UnresolvedMention1">
    <w:name w:val="Unresolved Mention1"/>
    <w:basedOn w:val="DefaultParagraphFont"/>
    <w:uiPriority w:val="99"/>
    <w:semiHidden/>
    <w:unhideWhenUsed/>
    <w:rsid w:val="007C2028"/>
    <w:rPr>
      <w:color w:val="808080"/>
      <w:shd w:val="clear" w:color="auto" w:fill="E6E6E6"/>
    </w:rPr>
  </w:style>
  <w:style w:type="character" w:customStyle="1" w:styleId="Heading1Char">
    <w:name w:val="Heading 1 Char"/>
    <w:basedOn w:val="DefaultParagraphFont"/>
    <w:link w:val="Heading1"/>
    <w:uiPriority w:val="9"/>
    <w:rsid w:val="007C2028"/>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7C2028"/>
    <w:rPr>
      <w:rFonts w:ascii="Times New Roman" w:hAnsi="Times New Roman"/>
      <w:b/>
      <w:sz w:val="24"/>
    </w:rPr>
  </w:style>
  <w:style w:type="character" w:customStyle="1" w:styleId="Heading3Char">
    <w:name w:val="Heading 3 Char"/>
    <w:basedOn w:val="DefaultParagraphFont"/>
    <w:link w:val="Heading3"/>
    <w:uiPriority w:val="9"/>
    <w:semiHidden/>
    <w:rsid w:val="007C2028"/>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semiHidden/>
    <w:rsid w:val="007C2028"/>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7C2028"/>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7C2028"/>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7C2028"/>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7C202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C2028"/>
    <w:rPr>
      <w:rFonts w:asciiTheme="majorHAnsi" w:eastAsiaTheme="majorEastAsia" w:hAnsiTheme="majorHAnsi" w:cstheme="majorBidi"/>
      <w:i/>
      <w:iCs/>
      <w:color w:val="272727" w:themeColor="text1" w:themeTint="D8"/>
      <w:sz w:val="21"/>
      <w:szCs w:val="21"/>
    </w:rPr>
  </w:style>
  <w:style w:type="paragraph" w:styleId="BodyText">
    <w:name w:val="Body Text"/>
    <w:basedOn w:val="Normal"/>
    <w:link w:val="BodyTextChar"/>
    <w:rsid w:val="007C2028"/>
    <w:pPr>
      <w:spacing w:after="0" w:line="360" w:lineRule="auto"/>
    </w:pPr>
    <w:rPr>
      <w:rFonts w:eastAsia="Times New Roman" w:cs="Times New Roman"/>
      <w:szCs w:val="24"/>
      <w:lang w:val="en-GB" w:eastAsia="x-none"/>
    </w:rPr>
  </w:style>
  <w:style w:type="character" w:customStyle="1" w:styleId="BodyTextChar">
    <w:name w:val="Body Text Char"/>
    <w:basedOn w:val="DefaultParagraphFont"/>
    <w:link w:val="BodyText"/>
    <w:rsid w:val="007C2028"/>
    <w:rPr>
      <w:rFonts w:ascii="Times New Roman" w:eastAsia="Times New Roman" w:hAnsi="Times New Roman" w:cs="Times New Roman"/>
      <w:sz w:val="24"/>
      <w:szCs w:val="24"/>
      <w:lang w:val="en-GB" w:eastAsia="x-none"/>
    </w:rPr>
  </w:style>
  <w:style w:type="paragraph" w:styleId="Header">
    <w:name w:val="header"/>
    <w:basedOn w:val="Normal"/>
    <w:link w:val="HeaderChar"/>
    <w:uiPriority w:val="99"/>
    <w:unhideWhenUsed/>
    <w:rsid w:val="000235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35B9"/>
    <w:rPr>
      <w:rFonts w:ascii="Times New Roman" w:hAnsi="Times New Roman"/>
      <w:sz w:val="24"/>
    </w:rPr>
  </w:style>
  <w:style w:type="paragraph" w:styleId="Footer">
    <w:name w:val="footer"/>
    <w:basedOn w:val="Normal"/>
    <w:link w:val="FooterChar"/>
    <w:uiPriority w:val="99"/>
    <w:unhideWhenUsed/>
    <w:rsid w:val="000235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35B9"/>
    <w:rPr>
      <w:rFonts w:ascii="Times New Roman" w:hAnsi="Times New Roman"/>
      <w:sz w:val="24"/>
    </w:rPr>
  </w:style>
  <w:style w:type="paragraph" w:styleId="BodyTextIndent">
    <w:name w:val="Body Text Indent"/>
    <w:basedOn w:val="Normal"/>
    <w:link w:val="BodyTextIndentChar"/>
    <w:rsid w:val="00B3306F"/>
    <w:pPr>
      <w:spacing w:after="120" w:line="240" w:lineRule="auto"/>
      <w:ind w:left="283"/>
      <w:jc w:val="left"/>
    </w:pPr>
    <w:rPr>
      <w:rFonts w:eastAsia="Times New Roman" w:cs="Times New Roman"/>
      <w:szCs w:val="24"/>
      <w:lang w:val="en-US"/>
    </w:rPr>
  </w:style>
  <w:style w:type="character" w:customStyle="1" w:styleId="BodyTextIndentChar">
    <w:name w:val="Body Text Indent Char"/>
    <w:basedOn w:val="DefaultParagraphFont"/>
    <w:link w:val="BodyTextIndent"/>
    <w:rsid w:val="00B3306F"/>
    <w:rPr>
      <w:rFonts w:ascii="Times New Roman" w:eastAsia="Times New Roman" w:hAnsi="Times New Roman" w:cs="Times New Roman"/>
      <w:sz w:val="24"/>
      <w:szCs w:val="24"/>
      <w:lang w:val="en-US"/>
    </w:rPr>
  </w:style>
  <w:style w:type="paragraph" w:styleId="Caption">
    <w:name w:val="caption"/>
    <w:basedOn w:val="Normal"/>
    <w:next w:val="Normal"/>
    <w:link w:val="CaptionChar"/>
    <w:uiPriority w:val="35"/>
    <w:unhideWhenUsed/>
    <w:qFormat/>
    <w:rsid w:val="00352AF8"/>
    <w:pPr>
      <w:spacing w:after="200" w:line="240" w:lineRule="auto"/>
      <w:jc w:val="center"/>
    </w:pPr>
    <w:rPr>
      <w:iCs/>
      <w:szCs w:val="18"/>
    </w:rPr>
  </w:style>
  <w:style w:type="paragraph" w:styleId="Quote">
    <w:name w:val="Quote"/>
    <w:basedOn w:val="Normal"/>
    <w:next w:val="Normal"/>
    <w:link w:val="QuoteChar"/>
    <w:uiPriority w:val="29"/>
    <w:qFormat/>
    <w:rsid w:val="00B44C2E"/>
    <w:pPr>
      <w:spacing w:after="0"/>
      <w:jc w:val="center"/>
    </w:pPr>
    <w:rPr>
      <w:iCs/>
      <w:color w:val="000000" w:themeColor="text1"/>
    </w:rPr>
  </w:style>
  <w:style w:type="character" w:customStyle="1" w:styleId="QuoteChar">
    <w:name w:val="Quote Char"/>
    <w:basedOn w:val="DefaultParagraphFont"/>
    <w:link w:val="Quote"/>
    <w:uiPriority w:val="29"/>
    <w:rsid w:val="00B44C2E"/>
    <w:rPr>
      <w:rFonts w:ascii="Times New Roman" w:hAnsi="Times New Roman"/>
      <w:iCs/>
      <w:color w:val="000000" w:themeColor="text1"/>
      <w:sz w:val="24"/>
    </w:rPr>
  </w:style>
  <w:style w:type="character" w:customStyle="1" w:styleId="CaptionChar">
    <w:name w:val="Caption Char"/>
    <w:basedOn w:val="DefaultParagraphFont"/>
    <w:link w:val="Caption"/>
    <w:uiPriority w:val="35"/>
    <w:rsid w:val="00B44C2E"/>
    <w:rPr>
      <w:rFonts w:ascii="Times New Roman" w:hAnsi="Times New Roman"/>
      <w:iCs/>
      <w:sz w:val="24"/>
      <w:szCs w:val="18"/>
    </w:rPr>
  </w:style>
  <w:style w:type="paragraph" w:styleId="BalloonText">
    <w:name w:val="Balloon Text"/>
    <w:basedOn w:val="Normal"/>
    <w:link w:val="BalloonTextChar"/>
    <w:uiPriority w:val="99"/>
    <w:semiHidden/>
    <w:unhideWhenUsed/>
    <w:rsid w:val="00B44C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4C2E"/>
    <w:rPr>
      <w:rFonts w:ascii="Tahoma" w:hAnsi="Tahoma" w:cs="Tahoma"/>
      <w:sz w:val="16"/>
      <w:szCs w:val="16"/>
    </w:rPr>
  </w:style>
  <w:style w:type="table" w:styleId="TableGrid">
    <w:name w:val="Table Grid"/>
    <w:basedOn w:val="TableNormal"/>
    <w:uiPriority w:val="59"/>
    <w:rsid w:val="00B44C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B44C2E"/>
    <w:pPr>
      <w:spacing w:after="240"/>
      <w:ind w:left="720" w:firstLine="720"/>
      <w:contextualSpacing/>
    </w:pPr>
  </w:style>
  <w:style w:type="character" w:styleId="CommentReference">
    <w:name w:val="annotation reference"/>
    <w:basedOn w:val="DefaultParagraphFont"/>
    <w:uiPriority w:val="99"/>
    <w:semiHidden/>
    <w:unhideWhenUsed/>
    <w:rsid w:val="00315333"/>
    <w:rPr>
      <w:sz w:val="16"/>
      <w:szCs w:val="16"/>
    </w:rPr>
  </w:style>
  <w:style w:type="paragraph" w:styleId="CommentText">
    <w:name w:val="annotation text"/>
    <w:basedOn w:val="Normal"/>
    <w:link w:val="CommentTextChar"/>
    <w:uiPriority w:val="99"/>
    <w:semiHidden/>
    <w:unhideWhenUsed/>
    <w:rsid w:val="00315333"/>
    <w:pPr>
      <w:spacing w:line="240" w:lineRule="auto"/>
    </w:pPr>
    <w:rPr>
      <w:sz w:val="20"/>
      <w:szCs w:val="20"/>
    </w:rPr>
  </w:style>
  <w:style w:type="character" w:customStyle="1" w:styleId="CommentTextChar">
    <w:name w:val="Comment Text Char"/>
    <w:basedOn w:val="DefaultParagraphFont"/>
    <w:link w:val="CommentText"/>
    <w:uiPriority w:val="99"/>
    <w:semiHidden/>
    <w:rsid w:val="00315333"/>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15333"/>
    <w:rPr>
      <w:b/>
      <w:bCs/>
    </w:rPr>
  </w:style>
  <w:style w:type="character" w:customStyle="1" w:styleId="CommentSubjectChar">
    <w:name w:val="Comment Subject Char"/>
    <w:basedOn w:val="CommentTextChar"/>
    <w:link w:val="CommentSubject"/>
    <w:uiPriority w:val="99"/>
    <w:semiHidden/>
    <w:rsid w:val="00315333"/>
    <w:rPr>
      <w:rFonts w:ascii="Times New Roman" w:hAnsi="Times New Roman"/>
      <w:b/>
      <w:bCs/>
      <w:sz w:val="20"/>
      <w:szCs w:val="20"/>
    </w:rPr>
  </w:style>
  <w:style w:type="character" w:customStyle="1" w:styleId="ListParagraphChar">
    <w:name w:val="List Paragraph Char"/>
    <w:basedOn w:val="DefaultParagraphFont"/>
    <w:link w:val="ListParagraph"/>
    <w:uiPriority w:val="34"/>
    <w:rsid w:val="003E54B9"/>
    <w:rPr>
      <w:rFonts w:ascii="Times New Roman" w:hAnsi="Times New Roman"/>
      <w:sz w:val="24"/>
    </w:rPr>
  </w:style>
  <w:style w:type="paragraph" w:customStyle="1" w:styleId="Equations">
    <w:name w:val="Equations"/>
    <w:basedOn w:val="NormalIndent"/>
    <w:link w:val="EquationsChar"/>
    <w:qFormat/>
    <w:rsid w:val="00E74443"/>
    <w:pPr>
      <w:suppressAutoHyphens/>
      <w:autoSpaceDE w:val="0"/>
      <w:spacing w:after="0"/>
      <w:ind w:left="0" w:firstLine="0"/>
      <w:jc w:val="right"/>
    </w:pPr>
    <w:rPr>
      <w:rFonts w:eastAsia="Times New Roman" w:cs="Times New Roman"/>
      <w:szCs w:val="20"/>
      <w:lang w:eastAsia="ar-SA"/>
    </w:rPr>
  </w:style>
  <w:style w:type="character" w:customStyle="1" w:styleId="EquationsChar">
    <w:name w:val="Equations Char"/>
    <w:basedOn w:val="DefaultParagraphFont"/>
    <w:link w:val="Equations"/>
    <w:rsid w:val="00E74443"/>
    <w:rPr>
      <w:rFonts w:ascii="Times New Roman" w:eastAsia="Times New Roman" w:hAnsi="Times New Roman" w:cs="Times New Roman"/>
      <w:sz w:val="24"/>
      <w:szCs w:val="20"/>
      <w:lang w:eastAsia="ar-SA"/>
    </w:rPr>
  </w:style>
  <w:style w:type="paragraph" w:styleId="NormalIndent">
    <w:name w:val="Normal Indent"/>
    <w:basedOn w:val="Normal"/>
    <w:link w:val="NormalIndentChar"/>
    <w:uiPriority w:val="99"/>
    <w:unhideWhenUsed/>
    <w:qFormat/>
    <w:rsid w:val="00E74443"/>
    <w:pPr>
      <w:spacing w:after="200"/>
      <w:ind w:left="720" w:firstLine="720"/>
    </w:pPr>
  </w:style>
  <w:style w:type="character" w:customStyle="1" w:styleId="NormalIndentChar">
    <w:name w:val="Normal Indent Char"/>
    <w:basedOn w:val="DefaultParagraphFont"/>
    <w:link w:val="NormalIndent"/>
    <w:uiPriority w:val="99"/>
    <w:rsid w:val="00E74443"/>
    <w:rPr>
      <w:rFonts w:ascii="Times New Roman" w:hAnsi="Times New Roman"/>
      <w:sz w:val="24"/>
    </w:rPr>
  </w:style>
  <w:style w:type="paragraph" w:styleId="Revision">
    <w:name w:val="Revision"/>
    <w:hidden/>
    <w:uiPriority w:val="99"/>
    <w:semiHidden/>
    <w:rsid w:val="00773FBA"/>
    <w:pPr>
      <w:spacing w:after="0" w:line="240" w:lineRule="auto"/>
    </w:pPr>
    <w:rPr>
      <w:rFonts w:ascii="Times New Roman" w:hAnsi="Times New Roman"/>
      <w:sz w:val="24"/>
    </w:rPr>
  </w:style>
  <w:style w:type="character" w:styleId="PlaceholderText">
    <w:name w:val="Placeholder Text"/>
    <w:basedOn w:val="DefaultParagraphFont"/>
    <w:uiPriority w:val="99"/>
    <w:semiHidden/>
    <w:rsid w:val="00B80042"/>
    <w:rPr>
      <w:color w:val="808080"/>
    </w:rPr>
  </w:style>
  <w:style w:type="character" w:customStyle="1" w:styleId="UnresolvedMention2">
    <w:name w:val="Unresolved Mention2"/>
    <w:basedOn w:val="DefaultParagraphFont"/>
    <w:uiPriority w:val="99"/>
    <w:semiHidden/>
    <w:unhideWhenUsed/>
    <w:rsid w:val="004E30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image" Target="media/image9.wmf"/><Relationship Id="rId26" Type="http://schemas.openxmlformats.org/officeDocument/2006/relationships/image" Target="media/image17.emf"/><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2.wmf"/><Relationship Id="rId34" Type="http://schemas.openxmlformats.org/officeDocument/2006/relationships/image" Target="media/image25.emf"/><Relationship Id="rId42" Type="http://schemas.openxmlformats.org/officeDocument/2006/relationships/image" Target="media/image33.emf"/><Relationship Id="rId47"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4.png"/><Relationship Id="rId38" Type="http://schemas.openxmlformats.org/officeDocument/2006/relationships/image" Target="media/image29.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wmf"/><Relationship Id="rId29" Type="http://schemas.openxmlformats.org/officeDocument/2006/relationships/image" Target="media/image20.emf"/><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5.wmf"/><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4.wmf"/><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image" Target="media/image1.wmf"/><Relationship Id="rId19" Type="http://schemas.openxmlformats.org/officeDocument/2006/relationships/image" Target="media/image10.wmf"/><Relationship Id="rId31" Type="http://schemas.openxmlformats.org/officeDocument/2006/relationships/image" Target="media/image22.emf"/><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sohalloran@wit.ie" TargetMode="External"/><Relationship Id="rId14" Type="http://schemas.openxmlformats.org/officeDocument/2006/relationships/image" Target="media/image5.wmf"/><Relationship Id="rId22" Type="http://schemas.openxmlformats.org/officeDocument/2006/relationships/image" Target="media/image13.w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35855-E9BF-472F-9A61-B74D41AF6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31642</Words>
  <Characters>180363</Characters>
  <Application>Microsoft Office Word</Application>
  <DocSecurity>0</DocSecurity>
  <Lines>1503</Lines>
  <Paragraphs>423</Paragraphs>
  <ScaleCrop>false</ScaleCrop>
  <HeadingPairs>
    <vt:vector size="2" baseType="variant">
      <vt:variant>
        <vt:lpstr>Title</vt:lpstr>
      </vt:variant>
      <vt:variant>
        <vt:i4>1</vt:i4>
      </vt:variant>
    </vt:vector>
  </HeadingPairs>
  <TitlesOfParts>
    <vt:vector size="1" baseType="lpstr">
      <vt:lpstr/>
    </vt:vector>
  </TitlesOfParts>
  <Company>Waterford Institute of Technology</Company>
  <LinksUpToDate>false</LinksUpToDate>
  <CharactersWithSpaces>211582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20079293</dc:creator>
  <cp:lastModifiedBy>Sinead O'Halloran</cp:lastModifiedBy>
  <cp:revision>2</cp:revision>
  <cp:lastPrinted>2019-09-09T10:22:00Z</cp:lastPrinted>
  <dcterms:created xsi:type="dcterms:W3CDTF">2019-11-12T09:48:00Z</dcterms:created>
  <dcterms:modified xsi:type="dcterms:W3CDTF">2019-11-12T09:48:00Z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4f79b6e0-1eaf-3191-8754-8580852e5564</vt:lpwstr>
  </property>
  <property fmtid="{D5CDD505-2E9C-101B-9397-08002B2CF9AE}" pid="4" name="Mendeley Citation Style_1">
    <vt:lpwstr>http://www.zotero.org/styles/tribology-international</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http://www.zotero.org/styles/tribology-international</vt:lpwstr>
  </property>
  <property fmtid="{D5CDD505-2E9C-101B-9397-08002B2CF9AE}" pid="24" name="Mendeley Recent Style Name 9_1">
    <vt:lpwstr>Tribology International</vt:lpwstr>
  </property>
</Properties>
</file>